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C11803">
      <w:pPr>
        <w:pStyle w:val="3"/>
        <w:bidi w:val="0"/>
        <w:spacing w:line="360" w:lineRule="auto"/>
        <w:jc w:val="center"/>
      </w:pPr>
      <w:r>
        <w:t>百姓家园消防设施专项排查报告</w:t>
      </w:r>
    </w:p>
    <w:p w14:paraId="3F2B9B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8"/>
          <w:szCs w:val="28"/>
        </w:rPr>
      </w:pPr>
      <w:r>
        <w:rPr>
          <w:color w:val="000000"/>
          <w:sz w:val="28"/>
          <w:szCs w:val="28"/>
          <w:shd w:val="clear" w:fill="FFFFFF"/>
        </w:rPr>
        <w:t>一、排查概况</w:t>
      </w:r>
    </w:p>
    <w:p w14:paraId="6E1251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eastAsia="宋体"/>
          <w:color w:val="000000"/>
          <w:sz w:val="24"/>
          <w:szCs w:val="24"/>
          <w:lang w:eastAsia="zh-CN"/>
        </w:rPr>
      </w:pPr>
      <w:r>
        <w:rPr>
          <w:color w:val="000000"/>
          <w:sz w:val="24"/>
          <w:szCs w:val="24"/>
          <w:shd w:val="clear" w:fill="FFFFFF"/>
        </w:rPr>
        <w:t>（一）小区基本信息</w:t>
      </w:r>
      <w:r>
        <w:rPr>
          <w:rFonts w:hint="eastAsia"/>
          <w:color w:val="000000"/>
          <w:sz w:val="24"/>
          <w:szCs w:val="24"/>
          <w:shd w:val="clear" w:fill="FFFFFF"/>
          <w:lang w:eastAsia="zh-CN"/>
        </w:rPr>
        <w:t>（</w:t>
      </w:r>
      <w:r>
        <w:rPr>
          <w:rFonts w:hint="eastAsia"/>
          <w:color w:val="000000"/>
          <w:sz w:val="24"/>
          <w:szCs w:val="24"/>
          <w:shd w:val="clear" w:fill="FFFFFF"/>
          <w:lang w:val="en-US" w:eastAsia="zh-CN"/>
        </w:rPr>
        <w:t>附表一</w:t>
      </w:r>
      <w:r>
        <w:rPr>
          <w:rFonts w:hint="eastAsia"/>
          <w:color w:val="000000"/>
          <w:sz w:val="24"/>
          <w:szCs w:val="24"/>
          <w:shd w:val="clear" w:fill="FFFFFF"/>
          <w:lang w:eastAsia="zh-CN"/>
        </w:rPr>
        <w:t>）</w:t>
      </w:r>
    </w:p>
    <w:p w14:paraId="26DA78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r>
        <w:rPr>
          <w:rFonts w:ascii="宋体" w:hAnsi="宋体" w:eastAsia="宋体" w:cs="宋体"/>
          <w:color w:val="000000"/>
          <w:kern w:val="0"/>
          <w:sz w:val="24"/>
          <w:szCs w:val="24"/>
          <w:shd w:val="clear" w:fill="FFFFFF"/>
          <w:lang w:val="en-US" w:eastAsia="zh-CN" w:bidi="ar"/>
        </w:rPr>
        <w:t>百姓家园小区坐落于台州市椒江区景元路，</w:t>
      </w:r>
      <w:r>
        <w:rPr>
          <w:rFonts w:hint="eastAsia" w:ascii="宋体" w:hAnsi="宋体" w:eastAsia="宋体" w:cs="宋体"/>
          <w:color w:val="000000"/>
          <w:kern w:val="0"/>
          <w:sz w:val="24"/>
          <w:szCs w:val="24"/>
          <w:shd w:val="clear" w:fill="FFFFFF"/>
          <w:lang w:val="en-US" w:eastAsia="zh-CN" w:bidi="ar"/>
        </w:rPr>
        <w:t>总建筑面积231000平方米，最高层高度49.5米，</w:t>
      </w:r>
      <w:r>
        <w:rPr>
          <w:rFonts w:ascii="宋体" w:hAnsi="宋体" w:eastAsia="宋体" w:cs="宋体"/>
          <w:color w:val="000000"/>
          <w:kern w:val="0"/>
          <w:sz w:val="24"/>
          <w:szCs w:val="24"/>
          <w:shd w:val="clear" w:fill="FFFFFF"/>
          <w:lang w:val="en-US" w:eastAsia="zh-CN" w:bidi="ar"/>
        </w:rPr>
        <w:t>地理位置优越，居住人口密集。小区整体规划分为南、北两大区域，建筑布局错落有致，配套设施相对完善。其中，北区规划建设 15 幢建筑（不含商铺），建筑高度呈现多样化特点，包含 8 幢 11 层、2 幢 15 层及 5 幢 6 层住宅，区域内设有 2 个地下室，分别位于20号楼附近和4号楼附近，主要承担地下停车、设备安放等功能；南区规模更大，共建设 31 幢建筑（不含商铺、幼儿园），建筑类型更为丰富，涵盖 1 幢 9 层、10 幢 15 层、9 幢 11 层及 17 幢 6 层住宅，配套 3 个地下室，分布在广场附近、26-31 号楼地下以及 48-51 号楼地下，为南区居民提供了充足的地下使用空间。</w:t>
      </w:r>
    </w:p>
    <w:p w14:paraId="3EC5FCF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right="0"/>
        <w:jc w:val="center"/>
        <w:rPr>
          <w:rFonts w:ascii="宋体" w:hAnsi="宋体" w:eastAsia="宋体" w:cs="宋体"/>
          <w:color w:val="000000"/>
          <w:kern w:val="0"/>
          <w:sz w:val="24"/>
          <w:szCs w:val="24"/>
          <w:shd w:val="clear" w:fill="FFFFFF"/>
          <w:lang w:val="en-US" w:eastAsia="zh-CN" w:bidi="ar"/>
        </w:rPr>
      </w:pPr>
      <w:r>
        <w:rPr>
          <w:rFonts w:hint="eastAsia" w:ascii="宋体" w:hAnsi="宋体" w:cs="宋体"/>
          <w:b w:val="0"/>
          <w:bCs/>
          <w:color w:val="auto"/>
          <w:sz w:val="24"/>
          <w:szCs w:val="24"/>
          <w:lang w:val="en-US" w:eastAsia="zh-CN"/>
        </w:rPr>
        <w:drawing>
          <wp:inline distT="0" distB="0" distL="114300" distR="114300">
            <wp:extent cx="5104130" cy="4841875"/>
            <wp:effectExtent l="0" t="0" r="1270" b="15875"/>
            <wp:docPr id="1" name="图片 1" descr="总平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总平示意图"/>
                    <pic:cNvPicPr>
                      <a:picLocks noChangeAspect="1"/>
                    </pic:cNvPicPr>
                  </pic:nvPicPr>
                  <pic:blipFill>
                    <a:blip r:embed="rId4"/>
                    <a:stretch>
                      <a:fillRect/>
                    </a:stretch>
                  </pic:blipFill>
                  <pic:spPr>
                    <a:xfrm>
                      <a:off x="0" y="0"/>
                      <a:ext cx="5104130" cy="4841875"/>
                    </a:xfrm>
                    <a:prstGeom prst="rect">
                      <a:avLst/>
                    </a:prstGeom>
                  </pic:spPr>
                </pic:pic>
              </a:graphicData>
            </a:graphic>
          </wp:inline>
        </w:drawing>
      </w:r>
    </w:p>
    <w:p w14:paraId="5E7385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4"/>
          <w:szCs w:val="24"/>
        </w:rPr>
      </w:pPr>
      <w:r>
        <w:rPr>
          <w:color w:val="000000"/>
          <w:sz w:val="24"/>
          <w:szCs w:val="24"/>
          <w:shd w:val="clear" w:fill="FFFFFF"/>
        </w:rPr>
        <w:t>（二）排查基本情况</w:t>
      </w:r>
    </w:p>
    <w:p w14:paraId="400A58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color w:val="000000"/>
          <w:sz w:val="24"/>
          <w:szCs w:val="24"/>
        </w:rPr>
      </w:pPr>
      <w:r>
        <w:rPr>
          <w:rFonts w:ascii="宋体" w:hAnsi="宋体" w:eastAsia="宋体" w:cs="宋体"/>
          <w:color w:val="000000"/>
          <w:kern w:val="0"/>
          <w:sz w:val="24"/>
          <w:szCs w:val="24"/>
          <w:shd w:val="clear" w:fill="FFFFFF"/>
          <w:lang w:val="en-US" w:eastAsia="zh-CN" w:bidi="ar"/>
        </w:rPr>
        <w:t>为全面掌握百姓家园小区消防设施实际运行状况，及时发现并消除消防安全隐患，保障小区居民生命财产安全，浙江安科工程检测有限公司于 2026 年 1 月 4 日正式启动对该小区的消防设施专项排查工作，至 2026 年 1 月 14 日圆满完成全部排查任务，排查周期共计 11 天。</w:t>
      </w:r>
    </w:p>
    <w:p w14:paraId="5B7FCE8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r>
        <w:rPr>
          <w:rFonts w:ascii="宋体" w:hAnsi="宋体" w:eastAsia="宋体" w:cs="宋体"/>
          <w:color w:val="000000"/>
          <w:kern w:val="0"/>
          <w:sz w:val="24"/>
          <w:szCs w:val="24"/>
          <w:shd w:val="clear" w:fill="FFFFFF"/>
          <w:lang w:val="en-US" w:eastAsia="zh-CN" w:bidi="ar"/>
        </w:rPr>
        <w:t>本次排查范围覆盖小区南、北两区所有建筑及配套地下室、消控室、水泵房等关键区域，排查内容包括消防报警系统、防排烟设施、消火栓系统、应急广播及警报装置、应急照明系统、防火分隔设施、灭火器配置等各类消防设施设备的完整性、运行状态及维护保养情况。排查过程中，工作人员严格按照相关消防规范标准，采用现场勘查、功能测试、资料核查等多种方式，对每一处消防设施进行细致检查，并详细记录相关数据及存在问题，确保排查结果真实、准确、全面。</w:t>
      </w:r>
    </w:p>
    <w:p w14:paraId="253D7D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right="0"/>
        <w:jc w:val="left"/>
        <w:rPr>
          <w:rFonts w:ascii="宋体" w:hAnsi="宋体" w:eastAsia="宋体" w:cs="宋体"/>
          <w:color w:val="000000"/>
          <w:kern w:val="0"/>
          <w:sz w:val="24"/>
          <w:szCs w:val="24"/>
          <w:shd w:val="clear" w:fill="FFFFFF"/>
          <w:lang w:val="en-US" w:eastAsia="zh-CN" w:bidi="ar"/>
        </w:rPr>
      </w:pPr>
    </w:p>
    <w:p w14:paraId="73D006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right="0"/>
        <w:jc w:val="left"/>
        <w:rPr>
          <w:rFonts w:ascii="宋体" w:hAnsi="宋体" w:eastAsia="宋体" w:cs="宋体"/>
          <w:color w:val="000000"/>
          <w:kern w:val="0"/>
          <w:sz w:val="24"/>
          <w:szCs w:val="24"/>
          <w:shd w:val="clear" w:fill="FFFFFF"/>
          <w:lang w:val="en-US" w:eastAsia="zh-CN" w:bidi="ar"/>
        </w:rPr>
      </w:pPr>
    </w:p>
    <w:p w14:paraId="6A1D25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8"/>
          <w:szCs w:val="28"/>
        </w:rPr>
      </w:pPr>
      <w:r>
        <w:rPr>
          <w:color w:val="000000"/>
          <w:sz w:val="28"/>
          <w:szCs w:val="28"/>
          <w:shd w:val="clear" w:fill="FFFFFF"/>
        </w:rPr>
        <w:t>二、排查发现的主要问题</w:t>
      </w:r>
    </w:p>
    <w:p w14:paraId="6EB1D8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4"/>
          <w:szCs w:val="24"/>
        </w:rPr>
      </w:pPr>
      <w:r>
        <w:rPr>
          <w:color w:val="000000"/>
          <w:sz w:val="24"/>
          <w:szCs w:val="24"/>
          <w:shd w:val="clear" w:fill="FFFFFF"/>
        </w:rPr>
        <w:t>（一）消控室设施问题突出</w:t>
      </w:r>
    </w:p>
    <w:p w14:paraId="769E27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r>
        <w:rPr>
          <w:rFonts w:ascii="宋体" w:hAnsi="宋体" w:eastAsia="宋体" w:cs="宋体"/>
          <w:color w:val="000000"/>
          <w:kern w:val="0"/>
          <w:sz w:val="24"/>
          <w:szCs w:val="24"/>
          <w:shd w:val="clear" w:fill="FFFFFF"/>
          <w:lang w:val="en-US" w:eastAsia="zh-CN" w:bidi="ar"/>
        </w:rPr>
        <w:t>消控室位于 59 号楼旁裙房内，作为小区消防安全的核心控制中枢，其设施状况直接影响整个小区消防系统的正常运行。经排查发现，</w:t>
      </w:r>
      <w:r>
        <w:rPr>
          <w:rFonts w:hint="eastAsia" w:ascii="宋体" w:hAnsi="宋体" w:eastAsia="宋体" w:cs="宋体"/>
          <w:color w:val="000000"/>
          <w:kern w:val="0"/>
          <w:sz w:val="24"/>
          <w:szCs w:val="24"/>
          <w:shd w:val="clear" w:fill="FFFFFF"/>
          <w:lang w:val="en-US" w:eastAsia="zh-CN" w:bidi="ar"/>
        </w:rPr>
        <w:t>原报警主机为</w:t>
      </w:r>
      <w:r>
        <w:rPr>
          <w:rFonts w:hint="eastAsia" w:ascii="宋体" w:hAnsi="宋体" w:eastAsia="宋体" w:cs="宋体"/>
          <w:b w:val="0"/>
          <w:bCs w:val="0"/>
          <w:color w:val="000000"/>
          <w:kern w:val="0"/>
          <w:sz w:val="24"/>
          <w:szCs w:val="24"/>
          <w:shd w:val="clear" w:fill="FFFFFF"/>
          <w:lang w:val="en-US" w:eastAsia="zh-CN" w:bidi="ar"/>
        </w:rPr>
        <w:t>海湾琴台式主机</w:t>
      </w:r>
      <w:r>
        <w:rPr>
          <w:rFonts w:hint="eastAsia" w:ascii="宋体" w:hAnsi="宋体" w:eastAsia="宋体" w:cs="宋体"/>
          <w:color w:val="000000"/>
          <w:kern w:val="0"/>
          <w:sz w:val="24"/>
          <w:szCs w:val="24"/>
          <w:shd w:val="clear" w:fill="FFFFFF"/>
          <w:lang w:val="en-US" w:eastAsia="zh-CN" w:bidi="ar"/>
        </w:rPr>
        <w:t>，</w:t>
      </w:r>
      <w:r>
        <w:rPr>
          <w:rFonts w:ascii="宋体" w:hAnsi="宋体" w:eastAsia="宋体" w:cs="宋体"/>
          <w:color w:val="000000"/>
          <w:kern w:val="0"/>
          <w:sz w:val="24"/>
          <w:szCs w:val="24"/>
          <w:shd w:val="clear" w:fill="FFFFFF"/>
          <w:lang w:val="en-US" w:eastAsia="zh-CN" w:bidi="ar"/>
        </w:rPr>
        <w:t>已被拆除，</w:t>
      </w:r>
      <w:r>
        <w:rPr>
          <w:rFonts w:hint="eastAsia" w:ascii="宋体" w:hAnsi="宋体" w:eastAsia="宋体" w:cs="宋体"/>
          <w:color w:val="000000"/>
          <w:kern w:val="0"/>
          <w:sz w:val="24"/>
          <w:szCs w:val="24"/>
          <w:shd w:val="clear" w:fill="FFFFFF"/>
          <w:lang w:val="en-US" w:eastAsia="zh-CN" w:bidi="ar"/>
        </w:rPr>
        <w:t>虽然</w:t>
      </w:r>
      <w:r>
        <w:rPr>
          <w:rFonts w:ascii="宋体" w:hAnsi="宋体" w:eastAsia="宋体" w:cs="宋体"/>
          <w:color w:val="000000"/>
          <w:kern w:val="0"/>
          <w:sz w:val="24"/>
          <w:szCs w:val="24"/>
          <w:shd w:val="clear" w:fill="FFFFFF"/>
          <w:lang w:val="en-US" w:eastAsia="zh-CN" w:bidi="ar"/>
        </w:rPr>
        <w:t>现场消防设备物理形态未被拆除，但原连接的信号线、广播线、电话线、24V 线等各类线路，因长期缺乏有效的防护与维护，绝大部分已出现严重的风化、破损现象，线路绝缘层开裂、裸露，部分线路甚至出现断裂情况，导致消防系统的信号传输、指令下达等功能完全丧失，无法实现对小区内各类消防隐患的实时监测与应急响应。</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46"/>
        <w:gridCol w:w="4276"/>
      </w:tblGrid>
      <w:tr w14:paraId="052B9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Borders>
              <w:tl2br w:val="nil"/>
              <w:tr2bl w:val="nil"/>
            </w:tcBorders>
            <w:vAlign w:val="top"/>
          </w:tcPr>
          <w:p w14:paraId="4D3345D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lang w:val="en-US" w:eastAsia="zh-CN"/>
              </w:rPr>
              <w:drawing>
                <wp:inline distT="0" distB="0" distL="114300" distR="114300">
                  <wp:extent cx="2565400" cy="1926590"/>
                  <wp:effectExtent l="0" t="0" r="6350" b="16510"/>
                  <wp:docPr id="5" name="图片 5" descr="1d8de430657078dd0023407009bd6b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d8de430657078dd0023407009bd6b20"/>
                          <pic:cNvPicPr>
                            <a:picLocks noChangeAspect="1"/>
                          </pic:cNvPicPr>
                        </pic:nvPicPr>
                        <pic:blipFill>
                          <a:blip r:embed="rId5"/>
                          <a:stretch>
                            <a:fillRect/>
                          </a:stretch>
                        </pic:blipFill>
                        <pic:spPr>
                          <a:xfrm>
                            <a:off x="0" y="0"/>
                            <a:ext cx="2565400" cy="1926590"/>
                          </a:xfrm>
                          <a:prstGeom prst="rect">
                            <a:avLst/>
                          </a:prstGeom>
                        </pic:spPr>
                      </pic:pic>
                    </a:graphicData>
                  </a:graphic>
                </wp:inline>
              </w:drawing>
            </w:r>
          </w:p>
        </w:tc>
        <w:tc>
          <w:tcPr>
            <w:tcW w:w="4261" w:type="dxa"/>
            <w:tcBorders>
              <w:tl2br w:val="nil"/>
              <w:tr2bl w:val="nil"/>
            </w:tcBorders>
            <w:vAlign w:val="top"/>
          </w:tcPr>
          <w:p w14:paraId="5DD6857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lang w:val="en-US" w:eastAsia="zh-CN"/>
              </w:rPr>
              <w:drawing>
                <wp:inline distT="0" distB="0" distL="114300" distR="114300">
                  <wp:extent cx="2578735" cy="1938020"/>
                  <wp:effectExtent l="0" t="0" r="12065" b="5080"/>
                  <wp:docPr id="6" name="图片 6" descr="12865ee0310e60c8341ebb25cc0f8f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2865ee0310e60c8341ebb25cc0f8f7e"/>
                          <pic:cNvPicPr>
                            <a:picLocks noChangeAspect="1"/>
                          </pic:cNvPicPr>
                        </pic:nvPicPr>
                        <pic:blipFill>
                          <a:blip r:embed="rId6"/>
                          <a:stretch>
                            <a:fillRect/>
                          </a:stretch>
                        </pic:blipFill>
                        <pic:spPr>
                          <a:xfrm>
                            <a:off x="0" y="0"/>
                            <a:ext cx="2578735" cy="1938020"/>
                          </a:xfrm>
                          <a:prstGeom prst="rect">
                            <a:avLst/>
                          </a:prstGeom>
                        </pic:spPr>
                      </pic:pic>
                    </a:graphicData>
                  </a:graphic>
                </wp:inline>
              </w:drawing>
            </w:r>
          </w:p>
        </w:tc>
      </w:tr>
    </w:tbl>
    <w:p w14:paraId="1A45FA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4"/>
          <w:szCs w:val="24"/>
        </w:rPr>
      </w:pPr>
      <w:r>
        <w:rPr>
          <w:color w:val="000000"/>
          <w:sz w:val="24"/>
          <w:szCs w:val="24"/>
          <w:shd w:val="clear" w:fill="FFFFFF"/>
        </w:rPr>
        <w:t>（二）高层消防设施功能失效</w:t>
      </w:r>
    </w:p>
    <w:p w14:paraId="363BBA4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r>
        <w:rPr>
          <w:rFonts w:ascii="宋体" w:hAnsi="宋体" w:eastAsia="宋体" w:cs="宋体"/>
          <w:color w:val="000000"/>
          <w:kern w:val="0"/>
          <w:sz w:val="24"/>
          <w:szCs w:val="24"/>
          <w:shd w:val="clear" w:fill="FFFFFF"/>
          <w:lang w:val="en-US" w:eastAsia="zh-CN" w:bidi="ar"/>
        </w:rPr>
        <w:t>小区高层住宅内配备了完善的消防报警设备、防排烟设施、消火栓系统、应急广播及警报装置、应急照明系统、防火分隔设施、灭火器配置等消防设施，然而由于消控室报警主机被拆除，相关设施的联动功能无法进行有效测试。同时，因长期未开展规范的维护保养工作，各类设施均出现不同程度的损坏与缺失。其中，防火门存在破损，部分门扇变形、边框松动，门锁、闭门器、顺序器等关键组件遗失严重，无法实现有效闭合，失去了防火分隔的基本功能；部分消防报警设备、应急广播及警报装置等出现遗失情况，剩余设备也因老化、受潮等原因存在故障，无法正常触发报警及广播通知功能；应急照明系统和疏散指示系统同样受损严重，无法在突发情况下为人员疏散提供必要的照明与方向指引；地面消火栓系统存在破损、漏水等问题，影响灭火供水效能。</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6"/>
        <w:gridCol w:w="4256"/>
      </w:tblGrid>
      <w:tr w14:paraId="44BEB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Borders>
              <w:tl2br w:val="nil"/>
              <w:tr2bl w:val="nil"/>
            </w:tcBorders>
            <w:vAlign w:val="top"/>
          </w:tcPr>
          <w:p w14:paraId="4164256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1833245" cy="2446020"/>
                  <wp:effectExtent l="0" t="0" r="14605" b="11430"/>
                  <wp:docPr id="12" name="图片 12" descr="69a8bda366401e25633feab3b5a39b0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69a8bda366401e25633feab3b5a39b0b"/>
                          <pic:cNvPicPr>
                            <a:picLocks noChangeAspect="1"/>
                          </pic:cNvPicPr>
                        </pic:nvPicPr>
                        <pic:blipFill>
                          <a:blip r:embed="rId7"/>
                          <a:stretch>
                            <a:fillRect/>
                          </a:stretch>
                        </pic:blipFill>
                        <pic:spPr>
                          <a:xfrm>
                            <a:off x="0" y="0"/>
                            <a:ext cx="1833245" cy="2446020"/>
                          </a:xfrm>
                          <a:prstGeom prst="rect">
                            <a:avLst/>
                          </a:prstGeom>
                        </pic:spPr>
                      </pic:pic>
                    </a:graphicData>
                  </a:graphic>
                </wp:inline>
              </w:drawing>
            </w:r>
          </w:p>
        </w:tc>
        <w:tc>
          <w:tcPr>
            <w:tcW w:w="4261" w:type="dxa"/>
            <w:tcBorders>
              <w:tl2br w:val="nil"/>
              <w:tr2bl w:val="nil"/>
            </w:tcBorders>
            <w:vAlign w:val="top"/>
          </w:tcPr>
          <w:p w14:paraId="6A8100A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1884680" cy="2512695"/>
                  <wp:effectExtent l="0" t="0" r="1270" b="1905"/>
                  <wp:docPr id="10" name="图片 10" descr="b1788e04c1efe3ae7f32aac4849562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b1788e04c1efe3ae7f32aac4849562a3"/>
                          <pic:cNvPicPr>
                            <a:picLocks noChangeAspect="1"/>
                          </pic:cNvPicPr>
                        </pic:nvPicPr>
                        <pic:blipFill>
                          <a:blip r:embed="rId8"/>
                          <a:stretch>
                            <a:fillRect/>
                          </a:stretch>
                        </pic:blipFill>
                        <pic:spPr>
                          <a:xfrm>
                            <a:off x="0" y="0"/>
                            <a:ext cx="1884680" cy="2512695"/>
                          </a:xfrm>
                          <a:prstGeom prst="rect">
                            <a:avLst/>
                          </a:prstGeom>
                        </pic:spPr>
                      </pic:pic>
                    </a:graphicData>
                  </a:graphic>
                </wp:inline>
              </w:drawing>
            </w:r>
          </w:p>
        </w:tc>
      </w:tr>
      <w:tr w14:paraId="4558F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Borders>
              <w:tl2br w:val="nil"/>
              <w:tr2bl w:val="nil"/>
            </w:tcBorders>
            <w:vAlign w:val="top"/>
          </w:tcPr>
          <w:p w14:paraId="610E52C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1938655" cy="2583180"/>
                  <wp:effectExtent l="0" t="0" r="4445" b="7620"/>
                  <wp:docPr id="11" name="图片 11" descr="f55370f89723a121e7335881218518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f55370f89723a121e7335881218518da"/>
                          <pic:cNvPicPr>
                            <a:picLocks noChangeAspect="1"/>
                          </pic:cNvPicPr>
                        </pic:nvPicPr>
                        <pic:blipFill>
                          <a:blip r:embed="rId9"/>
                          <a:stretch>
                            <a:fillRect/>
                          </a:stretch>
                        </pic:blipFill>
                        <pic:spPr>
                          <a:xfrm>
                            <a:off x="0" y="0"/>
                            <a:ext cx="1938655" cy="2583180"/>
                          </a:xfrm>
                          <a:prstGeom prst="rect">
                            <a:avLst/>
                          </a:prstGeom>
                        </pic:spPr>
                      </pic:pic>
                    </a:graphicData>
                  </a:graphic>
                </wp:inline>
              </w:drawing>
            </w:r>
          </w:p>
        </w:tc>
        <w:tc>
          <w:tcPr>
            <w:tcW w:w="4261" w:type="dxa"/>
            <w:tcBorders>
              <w:tl2br w:val="nil"/>
              <w:tr2bl w:val="nil"/>
            </w:tcBorders>
            <w:vAlign w:val="top"/>
          </w:tcPr>
          <w:p w14:paraId="3667794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1970405" cy="2628900"/>
                  <wp:effectExtent l="0" t="0" r="10795" b="0"/>
                  <wp:docPr id="15" name="图片 15" descr="6bed57d190e1852ef33b474baa858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6bed57d190e1852ef33b474baa858614"/>
                          <pic:cNvPicPr>
                            <a:picLocks noChangeAspect="1"/>
                          </pic:cNvPicPr>
                        </pic:nvPicPr>
                        <pic:blipFill>
                          <a:blip r:embed="rId10"/>
                          <a:stretch>
                            <a:fillRect/>
                          </a:stretch>
                        </pic:blipFill>
                        <pic:spPr>
                          <a:xfrm>
                            <a:off x="0" y="0"/>
                            <a:ext cx="1970405" cy="2628900"/>
                          </a:xfrm>
                          <a:prstGeom prst="rect">
                            <a:avLst/>
                          </a:prstGeom>
                        </pic:spPr>
                      </pic:pic>
                    </a:graphicData>
                  </a:graphic>
                </wp:inline>
              </w:drawing>
            </w:r>
          </w:p>
        </w:tc>
      </w:tr>
      <w:tr w14:paraId="7A65A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Borders>
              <w:tl2br w:val="nil"/>
              <w:tr2bl w:val="nil"/>
            </w:tcBorders>
            <w:vAlign w:val="top"/>
          </w:tcPr>
          <w:p w14:paraId="21DC0EC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2564130" cy="1924685"/>
                  <wp:effectExtent l="0" t="0" r="7620" b="18415"/>
                  <wp:docPr id="14" name="图片 14" descr="c8b3ceb2722d5ff029adf398cedec7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8b3ceb2722d5ff029adf398cedec7de"/>
                          <pic:cNvPicPr>
                            <a:picLocks noChangeAspect="1"/>
                          </pic:cNvPicPr>
                        </pic:nvPicPr>
                        <pic:blipFill>
                          <a:blip r:embed="rId11"/>
                          <a:stretch>
                            <a:fillRect/>
                          </a:stretch>
                        </pic:blipFill>
                        <pic:spPr>
                          <a:xfrm>
                            <a:off x="0" y="0"/>
                            <a:ext cx="2564130" cy="1924685"/>
                          </a:xfrm>
                          <a:prstGeom prst="rect">
                            <a:avLst/>
                          </a:prstGeom>
                        </pic:spPr>
                      </pic:pic>
                    </a:graphicData>
                  </a:graphic>
                </wp:inline>
              </w:drawing>
            </w:r>
          </w:p>
        </w:tc>
        <w:tc>
          <w:tcPr>
            <w:tcW w:w="4261" w:type="dxa"/>
            <w:tcBorders>
              <w:tl2br w:val="nil"/>
              <w:tr2bl w:val="nil"/>
            </w:tcBorders>
            <w:vAlign w:val="top"/>
          </w:tcPr>
          <w:p w14:paraId="4CFC7DD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1424305" cy="1898015"/>
                  <wp:effectExtent l="0" t="0" r="4445" b="6985"/>
                  <wp:docPr id="16" name="图片 16" descr="08202c21bc5a75f0565eb3916969b9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08202c21bc5a75f0565eb3916969b9c8"/>
                          <pic:cNvPicPr>
                            <a:picLocks noChangeAspect="1"/>
                          </pic:cNvPicPr>
                        </pic:nvPicPr>
                        <pic:blipFill>
                          <a:blip r:embed="rId12"/>
                          <a:stretch>
                            <a:fillRect/>
                          </a:stretch>
                        </pic:blipFill>
                        <pic:spPr>
                          <a:xfrm>
                            <a:off x="0" y="0"/>
                            <a:ext cx="1424305" cy="1898015"/>
                          </a:xfrm>
                          <a:prstGeom prst="rect">
                            <a:avLst/>
                          </a:prstGeom>
                        </pic:spPr>
                      </pic:pic>
                    </a:graphicData>
                  </a:graphic>
                </wp:inline>
              </w:drawing>
            </w:r>
          </w:p>
        </w:tc>
      </w:tr>
    </w:tbl>
    <w:p w14:paraId="5AE51C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4"/>
          <w:szCs w:val="24"/>
          <w:shd w:val="clear" w:fill="FFFFFF"/>
        </w:rPr>
      </w:pPr>
    </w:p>
    <w:p w14:paraId="60BEDC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4"/>
          <w:szCs w:val="24"/>
        </w:rPr>
      </w:pPr>
      <w:r>
        <w:rPr>
          <w:color w:val="000000"/>
          <w:sz w:val="24"/>
          <w:szCs w:val="24"/>
          <w:shd w:val="clear" w:fill="FFFFFF"/>
        </w:rPr>
        <w:t>（三）水泵房及管网系统问题频发</w:t>
      </w:r>
    </w:p>
    <w:p w14:paraId="3FA6F2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color w:val="000000"/>
          <w:sz w:val="24"/>
          <w:szCs w:val="24"/>
        </w:rPr>
      </w:pPr>
      <w:r>
        <w:rPr>
          <w:rFonts w:ascii="宋体" w:hAnsi="宋体" w:eastAsia="宋体" w:cs="宋体"/>
          <w:color w:val="000000"/>
          <w:kern w:val="0"/>
          <w:sz w:val="24"/>
          <w:szCs w:val="24"/>
          <w:shd w:val="clear" w:fill="FFFFFF"/>
          <w:lang w:val="en-US" w:eastAsia="zh-CN" w:bidi="ar"/>
        </w:rPr>
        <w:t>南、北两区共 4 处水泵房，均存在不同程度的设施损坏、功能失效及配套缺失问题，具体情况如下：</w:t>
      </w:r>
    </w:p>
    <w:p w14:paraId="57DDE60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hanging="360"/>
        <w:jc w:val="left"/>
        <w:rPr>
          <w:color w:val="000000"/>
          <w:sz w:val="24"/>
          <w:szCs w:val="24"/>
        </w:rPr>
      </w:pPr>
      <w:r>
        <w:rPr>
          <w:color w:val="000000"/>
          <w:sz w:val="24"/>
          <w:szCs w:val="24"/>
          <w:shd w:val="clear" w:fill="FFFFFF"/>
        </w:rPr>
        <w:t>整体共性问题：4 处水泵房内原有水泵控制柜防护等级均未达到现有消防安全规范要求，未采用 IP55 防护标准，设备易受灰尘、湿气等外界环境影响，存在短路、故障等安全隐患；水泵房内缺少应急照明灯具，一旦发生突发停电情况，工作人员无法快速开展设备操作</w:t>
      </w:r>
      <w:r>
        <w:rPr>
          <w:rFonts w:hint="eastAsia"/>
          <w:color w:val="000000"/>
          <w:sz w:val="24"/>
          <w:szCs w:val="24"/>
          <w:shd w:val="clear" w:fill="FFFFFF"/>
          <w:lang w:eastAsia="zh-CN"/>
        </w:rPr>
        <w:t>和</w:t>
      </w:r>
      <w:r>
        <w:rPr>
          <w:color w:val="000000"/>
          <w:sz w:val="24"/>
          <w:szCs w:val="24"/>
          <w:shd w:val="clear" w:fill="FFFFFF"/>
        </w:rPr>
        <w:t>应急处置；消防电话缺失，导致水泵房与消控室及其他相关区域无法实现实时通讯联络，影响应急指挥效率；防火门均存在不同程度的破损，无法起到有效的防火隔离作用；湿式报警阀组上、下端压力均显示为 0，</w:t>
      </w:r>
      <w:r>
        <w:rPr>
          <w:rFonts w:hint="eastAsia"/>
          <w:color w:val="000000"/>
          <w:sz w:val="24"/>
          <w:szCs w:val="24"/>
          <w:shd w:val="clear" w:fill="FFFFFF"/>
          <w:lang w:val="en-US" w:eastAsia="zh-CN"/>
        </w:rPr>
        <w:t>喷淋管网无水的状态</w:t>
      </w:r>
      <w:r>
        <w:rPr>
          <w:color w:val="000000"/>
          <w:sz w:val="24"/>
          <w:szCs w:val="24"/>
          <w:shd w:val="clear" w:fill="FFFFFF"/>
        </w:rPr>
        <w:t>。</w:t>
      </w:r>
    </w:p>
    <w:p w14:paraId="29E1180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hanging="360"/>
        <w:jc w:val="left"/>
        <w:rPr>
          <w:color w:val="000000"/>
          <w:sz w:val="24"/>
          <w:szCs w:val="24"/>
        </w:rPr>
      </w:pPr>
      <w:r>
        <w:rPr>
          <w:color w:val="000000"/>
          <w:sz w:val="24"/>
          <w:szCs w:val="24"/>
          <w:shd w:val="clear" w:fill="FFFFFF"/>
        </w:rPr>
        <w:t>各水泵房具体问题：（1）南区 48# 楼地下室水泵房：1# 喷淋泵（40 米扬程、18.5kw）经测试无法启动，失去应急供水功能；消火栓、喷淋管网压力表显示数值为 0，但现场楼层内实际存在水压，初步判断为压力表损坏，无法准确反映管网真实压力状况，给管网维护及故障判断带来极大不便。（2）南区 30# 楼地下室水泵房：2# 喷淋泵（40 米扬程、18.5kw）无法启动，无法在火灾发生时提供喷淋灭火用水；消火栓、喷淋管压力表显示为 0，且周边不少楼层内无水，疑似管网存在堵塞、断裂或泄漏等严重问题，需对整体管网进行全面、细致</w:t>
      </w:r>
      <w:r>
        <w:rPr>
          <w:rFonts w:hint="eastAsia"/>
          <w:color w:val="000000"/>
          <w:sz w:val="24"/>
          <w:szCs w:val="24"/>
          <w:shd w:val="clear" w:fill="FFFFFF"/>
          <w:lang w:eastAsia="zh-CN"/>
        </w:rPr>
        <w:t>的</w:t>
      </w:r>
      <w:r>
        <w:rPr>
          <w:color w:val="000000"/>
          <w:sz w:val="24"/>
          <w:szCs w:val="24"/>
          <w:shd w:val="clear" w:fill="FFFFFF"/>
        </w:rPr>
        <w:t>排查确认，找出问题根源。（3）南区 59# 楼地下室水泵房：2# 消防泵（60 米扬程、30kw）无法启动，</w:t>
      </w:r>
      <w:r>
        <w:rPr>
          <w:rFonts w:hint="eastAsia"/>
          <w:color w:val="000000"/>
          <w:sz w:val="24"/>
          <w:szCs w:val="24"/>
          <w:shd w:val="clear" w:fill="FFFFFF"/>
          <w:lang w:eastAsia="zh-CN"/>
        </w:rPr>
        <w:t>虽然</w:t>
      </w:r>
      <w:r>
        <w:rPr>
          <w:color w:val="000000"/>
          <w:sz w:val="24"/>
          <w:szCs w:val="24"/>
          <w:shd w:val="clear" w:fill="FFFFFF"/>
        </w:rPr>
        <w:t>消火栓管网有压力显示，周边楼层也存在水压，但消防泵无法正常启动将严重影响火灾初期的供水强度及持续供水能力；2# 喷淋泵交流接触器无法吸合，导致喷淋泵无法正常运行，喷淋管网内无水，喷淋系统完全丧失灭火功能。（4）北区地下室水泵房：2# 消防泵（80 米扬程、30kw）及 1# 稳压泵（97.6 米扬程、7.5kw）均无法启动，消防供水系统核心设备失效；消火栓、喷淋管网内均无水，无法在火灾发生时提供有效的消防用水支持，消防安全保障能力严重不足。</w:t>
      </w:r>
    </w:p>
    <w:p w14:paraId="0E9C3933">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hanging="360"/>
        <w:jc w:val="left"/>
        <w:rPr>
          <w:color w:val="000000"/>
          <w:sz w:val="24"/>
          <w:szCs w:val="24"/>
        </w:rPr>
      </w:pPr>
      <w:r>
        <w:rPr>
          <w:color w:val="000000"/>
          <w:sz w:val="24"/>
          <w:szCs w:val="24"/>
          <w:shd w:val="clear" w:fill="FFFFFF"/>
        </w:rPr>
        <w:t>联动及管网整体问题：由于缺少报警主机，压力开关等关键模块处于无电状态，喷淋管网内无水，导致消防系统的联动启泵功能无法进行测试，无法确保火灾发生时各系统</w:t>
      </w:r>
      <w:r>
        <w:rPr>
          <w:rFonts w:hint="eastAsia"/>
          <w:color w:val="000000"/>
          <w:sz w:val="24"/>
          <w:szCs w:val="24"/>
          <w:shd w:val="clear" w:fill="FFFFFF"/>
          <w:lang w:eastAsia="zh-CN"/>
        </w:rPr>
        <w:t>之间</w:t>
      </w:r>
      <w:r>
        <w:rPr>
          <w:color w:val="000000"/>
          <w:sz w:val="24"/>
          <w:szCs w:val="24"/>
          <w:shd w:val="clear" w:fill="FFFFFF"/>
        </w:rPr>
        <w:t>协同运作；经对全小区管网排查发现，多处楼层消防管网内无水，室外管网存在明显漏水情况。其中，北区所有楼层及地下室均为无水状态，南区 21、25、26、27、28、29、30、58 号楼处于无水状态，仅 31、32、33、46、47、48、49、50、51、52、53、59 号楼有水，管网缺水问题严重，覆盖范围广，极大地削弱了小区的整体消防安全防护能力。</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2B0C0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Borders>
              <w:tl2br w:val="nil"/>
              <w:tr2bl w:val="nil"/>
            </w:tcBorders>
            <w:vAlign w:val="top"/>
          </w:tcPr>
          <w:p w14:paraId="0841D71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sz w:val="24"/>
                <w:szCs w:val="24"/>
                <w:vertAlign w:val="baseline"/>
                <w:lang w:val="en-US" w:eastAsia="zh-CN"/>
              </w:rPr>
            </w:pPr>
            <w:r>
              <w:rPr>
                <w:rFonts w:hint="default" w:ascii="宋体" w:hAnsi="宋体" w:cs="宋体"/>
                <w:sz w:val="24"/>
                <w:szCs w:val="24"/>
                <w:lang w:val="en-US" w:eastAsia="zh-CN"/>
              </w:rPr>
              <w:drawing>
                <wp:inline distT="0" distB="0" distL="114300" distR="114300">
                  <wp:extent cx="1858010" cy="2475865"/>
                  <wp:effectExtent l="0" t="0" r="8890" b="635"/>
                  <wp:docPr id="20" name="图片 20" descr="ed076b1bac3de7ee7e0a42747f5a87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ed076b1bac3de7ee7e0a42747f5a87c0"/>
                          <pic:cNvPicPr>
                            <a:picLocks noChangeAspect="1"/>
                          </pic:cNvPicPr>
                        </pic:nvPicPr>
                        <pic:blipFill>
                          <a:blip r:embed="rId13"/>
                          <a:stretch>
                            <a:fillRect/>
                          </a:stretch>
                        </pic:blipFill>
                        <pic:spPr>
                          <a:xfrm>
                            <a:off x="0" y="0"/>
                            <a:ext cx="1858010" cy="2475865"/>
                          </a:xfrm>
                          <a:prstGeom prst="rect">
                            <a:avLst/>
                          </a:prstGeom>
                        </pic:spPr>
                      </pic:pic>
                    </a:graphicData>
                  </a:graphic>
                </wp:inline>
              </w:drawing>
            </w:r>
          </w:p>
        </w:tc>
        <w:tc>
          <w:tcPr>
            <w:tcW w:w="4261" w:type="dxa"/>
            <w:tcBorders>
              <w:tl2br w:val="nil"/>
              <w:tr2bl w:val="nil"/>
            </w:tcBorders>
            <w:vAlign w:val="top"/>
          </w:tcPr>
          <w:p w14:paraId="2B4D123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1894205" cy="2526665"/>
                  <wp:effectExtent l="0" t="0" r="10795" b="6985"/>
                  <wp:docPr id="21" name="图片 21" descr="e628bc3bee098e882f2d2dfe85085f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e628bc3bee098e882f2d2dfe85085fe7"/>
                          <pic:cNvPicPr>
                            <a:picLocks noChangeAspect="1"/>
                          </pic:cNvPicPr>
                        </pic:nvPicPr>
                        <pic:blipFill>
                          <a:blip r:embed="rId14"/>
                          <a:stretch>
                            <a:fillRect/>
                          </a:stretch>
                        </pic:blipFill>
                        <pic:spPr>
                          <a:xfrm>
                            <a:off x="0" y="0"/>
                            <a:ext cx="1894205" cy="2526665"/>
                          </a:xfrm>
                          <a:prstGeom prst="rect">
                            <a:avLst/>
                          </a:prstGeom>
                        </pic:spPr>
                      </pic:pic>
                    </a:graphicData>
                  </a:graphic>
                </wp:inline>
              </w:drawing>
            </w:r>
          </w:p>
        </w:tc>
      </w:tr>
    </w:tbl>
    <w:p w14:paraId="62368C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4"/>
          <w:szCs w:val="24"/>
        </w:rPr>
      </w:pPr>
      <w:r>
        <w:rPr>
          <w:color w:val="000000"/>
          <w:sz w:val="24"/>
          <w:szCs w:val="24"/>
          <w:shd w:val="clear" w:fill="FFFFFF"/>
        </w:rPr>
        <w:t>（四）消火栓系统设施损坏、缺失</w:t>
      </w:r>
    </w:p>
    <w:p w14:paraId="6371FA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r>
        <w:rPr>
          <w:rFonts w:ascii="宋体" w:hAnsi="宋体" w:eastAsia="宋体" w:cs="宋体"/>
          <w:color w:val="000000"/>
          <w:kern w:val="0"/>
          <w:sz w:val="24"/>
          <w:szCs w:val="24"/>
          <w:shd w:val="clear" w:fill="FFFFFF"/>
          <w:lang w:val="en-US" w:eastAsia="zh-CN" w:bidi="ar"/>
        </w:rPr>
        <w:t>地下室室内消火栓普遍存在水枪缺失情况，剩余水带因使用年限较长及缺乏维护保养，已出现严重老化现象，水带表面开裂、胶质脱落，存在漏水风险，无法保证灭火时的供水效率及安全性；楼层内消火栓箱部分箱体变形，不仅影响消火栓的正常使用，也存在一定的安全隐患，同时不符合消防设施完好性要求。</w:t>
      </w:r>
    </w:p>
    <w:tbl>
      <w:tblPr>
        <w:tblStyle w:val="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47"/>
        <w:gridCol w:w="2775"/>
        <w:gridCol w:w="2776"/>
      </w:tblGrid>
      <w:tr w14:paraId="16BC7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23" w:hRule="atLeast"/>
          <w:jc w:val="center"/>
        </w:trPr>
        <w:tc>
          <w:tcPr>
            <w:tcW w:w="2747" w:type="dxa"/>
            <w:tcBorders>
              <w:tl2br w:val="nil"/>
              <w:tr2bl w:val="nil"/>
            </w:tcBorders>
            <w:vAlign w:val="top"/>
          </w:tcPr>
          <w:p w14:paraId="5AF17CA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1303020" cy="1738630"/>
                  <wp:effectExtent l="0" t="0" r="11430" b="13970"/>
                  <wp:docPr id="26" name="图片 26" descr="a618ca19a9df9d8da7075b5b7c575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a618ca19a9df9d8da7075b5b7c575753"/>
                          <pic:cNvPicPr>
                            <a:picLocks noChangeAspect="1"/>
                          </pic:cNvPicPr>
                        </pic:nvPicPr>
                        <pic:blipFill>
                          <a:blip r:embed="rId15"/>
                          <a:stretch>
                            <a:fillRect/>
                          </a:stretch>
                        </pic:blipFill>
                        <pic:spPr>
                          <a:xfrm>
                            <a:off x="0" y="0"/>
                            <a:ext cx="1303020" cy="1738630"/>
                          </a:xfrm>
                          <a:prstGeom prst="rect">
                            <a:avLst/>
                          </a:prstGeom>
                        </pic:spPr>
                      </pic:pic>
                    </a:graphicData>
                  </a:graphic>
                </wp:inline>
              </w:drawing>
            </w:r>
          </w:p>
        </w:tc>
        <w:tc>
          <w:tcPr>
            <w:tcW w:w="2775" w:type="dxa"/>
            <w:tcBorders>
              <w:tl2br w:val="nil"/>
              <w:tr2bl w:val="nil"/>
            </w:tcBorders>
            <w:vAlign w:val="top"/>
          </w:tcPr>
          <w:p w14:paraId="04E33BC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1310640" cy="1749425"/>
                  <wp:effectExtent l="0" t="0" r="3810" b="3175"/>
                  <wp:docPr id="28" name="图片 28" descr="7aefe8098ef0484ab2f56b7d6c58bd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7aefe8098ef0484ab2f56b7d6c58bdb2"/>
                          <pic:cNvPicPr>
                            <a:picLocks noChangeAspect="1"/>
                          </pic:cNvPicPr>
                        </pic:nvPicPr>
                        <pic:blipFill>
                          <a:blip r:embed="rId16"/>
                          <a:stretch>
                            <a:fillRect/>
                          </a:stretch>
                        </pic:blipFill>
                        <pic:spPr>
                          <a:xfrm>
                            <a:off x="0" y="0"/>
                            <a:ext cx="1310640" cy="1749425"/>
                          </a:xfrm>
                          <a:prstGeom prst="rect">
                            <a:avLst/>
                          </a:prstGeom>
                        </pic:spPr>
                      </pic:pic>
                    </a:graphicData>
                  </a:graphic>
                </wp:inline>
              </w:drawing>
            </w:r>
          </w:p>
        </w:tc>
        <w:tc>
          <w:tcPr>
            <w:tcW w:w="2776" w:type="dxa"/>
            <w:tcBorders>
              <w:tl2br w:val="nil"/>
              <w:tr2bl w:val="nil"/>
            </w:tcBorders>
            <w:vAlign w:val="top"/>
          </w:tcPr>
          <w:p w14:paraId="31A7518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1327150" cy="1771650"/>
                  <wp:effectExtent l="0" t="0" r="6350" b="0"/>
                  <wp:docPr id="29" name="图片 29" descr="49868f777c047373d99af4f80c306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49868f777c047373d99af4f80c306384"/>
                          <pic:cNvPicPr>
                            <a:picLocks noChangeAspect="1"/>
                          </pic:cNvPicPr>
                        </pic:nvPicPr>
                        <pic:blipFill>
                          <a:blip r:embed="rId17"/>
                          <a:stretch>
                            <a:fillRect/>
                          </a:stretch>
                        </pic:blipFill>
                        <pic:spPr>
                          <a:xfrm>
                            <a:off x="0" y="0"/>
                            <a:ext cx="1327150" cy="1771650"/>
                          </a:xfrm>
                          <a:prstGeom prst="rect">
                            <a:avLst/>
                          </a:prstGeom>
                        </pic:spPr>
                      </pic:pic>
                    </a:graphicData>
                  </a:graphic>
                </wp:inline>
              </w:drawing>
            </w:r>
          </w:p>
        </w:tc>
      </w:tr>
    </w:tbl>
    <w:p w14:paraId="22147D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4"/>
          <w:szCs w:val="24"/>
        </w:rPr>
      </w:pPr>
      <w:r>
        <w:rPr>
          <w:color w:val="000000"/>
          <w:sz w:val="24"/>
          <w:szCs w:val="24"/>
          <w:shd w:val="clear" w:fill="FFFFFF"/>
        </w:rPr>
        <w:t>（五）关键监测及控制设施缺失</w:t>
      </w:r>
    </w:p>
    <w:p w14:paraId="0318D87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r>
        <w:rPr>
          <w:rFonts w:ascii="宋体" w:hAnsi="宋体" w:eastAsia="宋体" w:cs="宋体"/>
          <w:color w:val="000000"/>
          <w:kern w:val="0"/>
          <w:sz w:val="24"/>
          <w:szCs w:val="24"/>
          <w:shd w:val="clear" w:fill="FFFFFF"/>
          <w:lang w:val="en-US" w:eastAsia="zh-CN" w:bidi="ar"/>
        </w:rPr>
        <w:t>消控室、水泵房、屋顶水箱等关键位置均未安装液位显示装置，无法实时监测水箱内水位情况，难以确保消防用水储备充足，给消防安全带来潜在风险；消火栓出水管上缺少低压压力开关，无法及时监测管网压力变化，当管网压力不足时，无法自动触发相关补压设备启动，影响消防供水的稳定性与可靠性。</w:t>
      </w:r>
    </w:p>
    <w:p w14:paraId="2A9B73F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p>
    <w:p w14:paraId="1200E1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4"/>
          <w:szCs w:val="24"/>
        </w:rPr>
      </w:pPr>
      <w:r>
        <w:rPr>
          <w:color w:val="000000"/>
          <w:sz w:val="24"/>
          <w:szCs w:val="24"/>
          <w:shd w:val="clear" w:fill="FFFFFF"/>
        </w:rPr>
        <w:t>（六）防排烟系统功能失效</w:t>
      </w:r>
    </w:p>
    <w:p w14:paraId="1F3AA79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r>
        <w:rPr>
          <w:rFonts w:ascii="宋体" w:hAnsi="宋体" w:eastAsia="宋体" w:cs="宋体"/>
          <w:color w:val="000000"/>
          <w:kern w:val="0"/>
          <w:sz w:val="24"/>
          <w:szCs w:val="24"/>
          <w:shd w:val="clear" w:fill="FFFFFF"/>
          <w:lang w:val="en-US" w:eastAsia="zh-CN" w:bidi="ar"/>
        </w:rPr>
        <w:t>地下室排烟风机经现场测试无法手动启动，查看发现现场控制柜处于无电状态，无法为排烟风机运行提供电力支持；同时，地下室风管存在大面积破损和遗失情况，即使风机能够启动，也无法实现有效的排烟功能，火灾发生时，地下室将产生大量浓烟，严重影响人员疏散及消防救援工作；楼层上送风机同样无法手动启动，前室正压风阀无法正常打开，无法在火灾发生时向前室输送新鲜空气，形成正压环境，阻挡浓烟进入前室及疏散楼梯间，给人员疏散通道的安全保障带来极大挑战。</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53"/>
        <w:gridCol w:w="2199"/>
        <w:gridCol w:w="2170"/>
      </w:tblGrid>
      <w:tr w14:paraId="2A78C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Borders>
              <w:tl2br w:val="nil"/>
              <w:tr2bl w:val="nil"/>
            </w:tcBorders>
            <w:vAlign w:val="top"/>
          </w:tcPr>
          <w:p w14:paraId="5B04890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2559685" cy="1921510"/>
                  <wp:effectExtent l="0" t="0" r="12065" b="2540"/>
                  <wp:docPr id="32" name="图片 32" descr="666f4fd9b5ae7a6b2d4f2c8719f9c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666f4fd9b5ae7a6b2d4f2c8719f9c794"/>
                          <pic:cNvPicPr>
                            <a:picLocks noChangeAspect="1"/>
                          </pic:cNvPicPr>
                        </pic:nvPicPr>
                        <pic:blipFill>
                          <a:blip r:embed="rId18"/>
                          <a:stretch>
                            <a:fillRect/>
                          </a:stretch>
                        </pic:blipFill>
                        <pic:spPr>
                          <a:xfrm>
                            <a:off x="0" y="0"/>
                            <a:ext cx="2559685" cy="1921510"/>
                          </a:xfrm>
                          <a:prstGeom prst="rect">
                            <a:avLst/>
                          </a:prstGeom>
                        </pic:spPr>
                      </pic:pic>
                    </a:graphicData>
                  </a:graphic>
                </wp:inline>
              </w:drawing>
            </w:r>
          </w:p>
        </w:tc>
        <w:tc>
          <w:tcPr>
            <w:tcW w:w="4261" w:type="dxa"/>
            <w:gridSpan w:val="2"/>
            <w:tcBorders>
              <w:tl2br w:val="nil"/>
              <w:tr2bl w:val="nil"/>
            </w:tcBorders>
            <w:vAlign w:val="top"/>
          </w:tcPr>
          <w:p w14:paraId="7E3BE92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2559685" cy="1921510"/>
                  <wp:effectExtent l="0" t="0" r="12065" b="2540"/>
                  <wp:docPr id="4" name="图片 4" descr="880df9c6f409ba5295b3b9c6c10211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880df9c6f409ba5295b3b9c6c10211d1"/>
                          <pic:cNvPicPr>
                            <a:picLocks noChangeAspect="1"/>
                          </pic:cNvPicPr>
                        </pic:nvPicPr>
                        <pic:blipFill>
                          <a:blip r:embed="rId19"/>
                          <a:stretch>
                            <a:fillRect/>
                          </a:stretch>
                        </pic:blipFill>
                        <pic:spPr>
                          <a:xfrm>
                            <a:off x="0" y="0"/>
                            <a:ext cx="2559685" cy="1921510"/>
                          </a:xfrm>
                          <a:prstGeom prst="rect">
                            <a:avLst/>
                          </a:prstGeom>
                        </pic:spPr>
                      </pic:pic>
                    </a:graphicData>
                  </a:graphic>
                </wp:inline>
              </w:drawing>
            </w:r>
          </w:p>
        </w:tc>
      </w:tr>
      <w:tr w14:paraId="5E29C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Borders>
              <w:tl2br w:val="nil"/>
              <w:tr2bl w:val="nil"/>
            </w:tcBorders>
            <w:vAlign w:val="top"/>
          </w:tcPr>
          <w:p w14:paraId="04EBC9D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2564130" cy="1924685"/>
                  <wp:effectExtent l="0" t="0" r="7620" b="18415"/>
                  <wp:docPr id="34" name="图片 34" descr="b06ab8da625e281747b9a423fd645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b06ab8da625e281747b9a423fd645262"/>
                          <pic:cNvPicPr>
                            <a:picLocks noChangeAspect="1"/>
                          </pic:cNvPicPr>
                        </pic:nvPicPr>
                        <pic:blipFill>
                          <a:blip r:embed="rId20"/>
                          <a:stretch>
                            <a:fillRect/>
                          </a:stretch>
                        </pic:blipFill>
                        <pic:spPr>
                          <a:xfrm>
                            <a:off x="0" y="0"/>
                            <a:ext cx="2564130" cy="1924685"/>
                          </a:xfrm>
                          <a:prstGeom prst="rect">
                            <a:avLst/>
                          </a:prstGeom>
                        </pic:spPr>
                      </pic:pic>
                    </a:graphicData>
                  </a:graphic>
                </wp:inline>
              </w:drawing>
            </w:r>
          </w:p>
        </w:tc>
        <w:tc>
          <w:tcPr>
            <w:tcW w:w="2130" w:type="dxa"/>
            <w:tcBorders>
              <w:tl2br w:val="nil"/>
              <w:tr2bl w:val="nil"/>
            </w:tcBorders>
            <w:vAlign w:val="top"/>
          </w:tcPr>
          <w:p w14:paraId="6C21E94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1295400" cy="1729740"/>
                  <wp:effectExtent l="0" t="0" r="0" b="3810"/>
                  <wp:docPr id="3" name="图片 3" descr="4b1d61de4314d4dd72729b426c1c7a1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4b1d61de4314d4dd72729b426c1c7a1d"/>
                          <pic:cNvPicPr>
                            <a:picLocks noChangeAspect="1"/>
                          </pic:cNvPicPr>
                        </pic:nvPicPr>
                        <pic:blipFill>
                          <a:blip r:embed="rId21"/>
                          <a:stretch>
                            <a:fillRect/>
                          </a:stretch>
                        </pic:blipFill>
                        <pic:spPr>
                          <a:xfrm>
                            <a:off x="0" y="0"/>
                            <a:ext cx="1295400" cy="1729740"/>
                          </a:xfrm>
                          <a:prstGeom prst="rect">
                            <a:avLst/>
                          </a:prstGeom>
                        </pic:spPr>
                      </pic:pic>
                    </a:graphicData>
                  </a:graphic>
                </wp:inline>
              </w:drawing>
            </w:r>
          </w:p>
        </w:tc>
        <w:tc>
          <w:tcPr>
            <w:tcW w:w="2131" w:type="dxa"/>
            <w:tcBorders>
              <w:tl2br w:val="nil"/>
              <w:tr2bl w:val="nil"/>
            </w:tcBorders>
            <w:vAlign w:val="top"/>
          </w:tcPr>
          <w:p w14:paraId="2D1EAFD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1263015" cy="1683385"/>
                  <wp:effectExtent l="0" t="0" r="13335" b="12065"/>
                  <wp:docPr id="7" name="图片 7" descr="911925dd3034d010e0a84e77a4193c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911925dd3034d010e0a84e77a4193c4c"/>
                          <pic:cNvPicPr>
                            <a:picLocks noChangeAspect="1"/>
                          </pic:cNvPicPr>
                        </pic:nvPicPr>
                        <pic:blipFill>
                          <a:blip r:embed="rId22"/>
                          <a:stretch>
                            <a:fillRect/>
                          </a:stretch>
                        </pic:blipFill>
                        <pic:spPr>
                          <a:xfrm>
                            <a:off x="0" y="0"/>
                            <a:ext cx="1263015" cy="1683385"/>
                          </a:xfrm>
                          <a:prstGeom prst="rect">
                            <a:avLst/>
                          </a:prstGeom>
                        </pic:spPr>
                      </pic:pic>
                    </a:graphicData>
                  </a:graphic>
                </wp:inline>
              </w:drawing>
            </w:r>
          </w:p>
        </w:tc>
      </w:tr>
      <w:tr w14:paraId="4097A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Borders>
              <w:tl2br w:val="nil"/>
              <w:tr2bl w:val="nil"/>
            </w:tcBorders>
            <w:vAlign w:val="top"/>
          </w:tcPr>
          <w:p w14:paraId="6098CC4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2559685" cy="1921510"/>
                  <wp:effectExtent l="0" t="0" r="12065" b="2540"/>
                  <wp:docPr id="36" name="图片 36" descr="31caf9e22c38d347a74a14451619ba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31caf9e22c38d347a74a14451619ba86"/>
                          <pic:cNvPicPr>
                            <a:picLocks noChangeAspect="1"/>
                          </pic:cNvPicPr>
                        </pic:nvPicPr>
                        <pic:blipFill>
                          <a:blip r:embed="rId23"/>
                          <a:stretch>
                            <a:fillRect/>
                          </a:stretch>
                        </pic:blipFill>
                        <pic:spPr>
                          <a:xfrm>
                            <a:off x="0" y="0"/>
                            <a:ext cx="2559685" cy="1921510"/>
                          </a:xfrm>
                          <a:prstGeom prst="rect">
                            <a:avLst/>
                          </a:prstGeom>
                        </pic:spPr>
                      </pic:pic>
                    </a:graphicData>
                  </a:graphic>
                </wp:inline>
              </w:drawing>
            </w:r>
          </w:p>
        </w:tc>
        <w:tc>
          <w:tcPr>
            <w:tcW w:w="4261" w:type="dxa"/>
            <w:gridSpan w:val="2"/>
            <w:tcBorders>
              <w:tl2br w:val="nil"/>
              <w:tr2bl w:val="nil"/>
            </w:tcBorders>
            <w:vAlign w:val="top"/>
          </w:tcPr>
          <w:p w14:paraId="73EE1D8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2564130" cy="1924685"/>
                  <wp:effectExtent l="0" t="0" r="7620" b="18415"/>
                  <wp:docPr id="2" name="图片 2" descr="9034c43c4a669a74ced874ba79be22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9034c43c4a669a74ced874ba79be227a"/>
                          <pic:cNvPicPr>
                            <a:picLocks noChangeAspect="1"/>
                          </pic:cNvPicPr>
                        </pic:nvPicPr>
                        <pic:blipFill>
                          <a:blip r:embed="rId24"/>
                          <a:stretch>
                            <a:fillRect/>
                          </a:stretch>
                        </pic:blipFill>
                        <pic:spPr>
                          <a:xfrm>
                            <a:off x="0" y="0"/>
                            <a:ext cx="2564130" cy="1924685"/>
                          </a:xfrm>
                          <a:prstGeom prst="rect">
                            <a:avLst/>
                          </a:prstGeom>
                        </pic:spPr>
                      </pic:pic>
                    </a:graphicData>
                  </a:graphic>
                </wp:inline>
              </w:drawing>
            </w:r>
          </w:p>
        </w:tc>
      </w:tr>
    </w:tbl>
    <w:p w14:paraId="3591E1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jc w:val="left"/>
        <w:rPr>
          <w:rFonts w:ascii="宋体" w:hAnsi="宋体" w:eastAsia="宋体" w:cs="宋体"/>
          <w:color w:val="000000"/>
          <w:kern w:val="0"/>
          <w:sz w:val="24"/>
          <w:szCs w:val="24"/>
          <w:shd w:val="clear" w:fill="FFFFFF"/>
          <w:lang w:val="en-US" w:eastAsia="zh-CN" w:bidi="ar"/>
        </w:rPr>
      </w:pPr>
    </w:p>
    <w:p w14:paraId="73C4D1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4"/>
          <w:szCs w:val="24"/>
        </w:rPr>
      </w:pPr>
      <w:r>
        <w:rPr>
          <w:color w:val="000000"/>
          <w:sz w:val="24"/>
          <w:szCs w:val="24"/>
          <w:shd w:val="clear" w:fill="FFFFFF"/>
        </w:rPr>
        <w:t>（七）防火卷帘系统无法正常运行</w:t>
      </w:r>
    </w:p>
    <w:p w14:paraId="6D0F4D6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r>
        <w:rPr>
          <w:rFonts w:ascii="宋体" w:hAnsi="宋体" w:eastAsia="宋体" w:cs="宋体"/>
          <w:color w:val="000000"/>
          <w:kern w:val="0"/>
          <w:sz w:val="24"/>
          <w:szCs w:val="24"/>
          <w:shd w:val="clear" w:fill="FFFFFF"/>
          <w:lang w:val="en-US" w:eastAsia="zh-CN" w:bidi="ar"/>
        </w:rPr>
        <w:t>地下室防火卷帘控制柜无电，导致防火卷帘的升降功能无法进行测试，也无法在火灾发生时自动或手动降下，无法有效划分防火分区，阻止火势蔓延，将可能导致火灾快速扩大，造成更大的财产损失和人员伤亡。</w:t>
      </w:r>
    </w:p>
    <w:p w14:paraId="6BF6CB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jc w:val="left"/>
        <w:rPr>
          <w:rFonts w:ascii="宋体" w:hAnsi="宋体" w:eastAsia="宋体" w:cs="宋体"/>
          <w:color w:val="000000"/>
          <w:kern w:val="0"/>
          <w:sz w:val="24"/>
          <w:szCs w:val="24"/>
          <w:shd w:val="clear" w:fill="FFFFFF"/>
          <w:lang w:val="en-US" w:eastAsia="zh-CN" w:bidi="ar"/>
        </w:rPr>
      </w:pPr>
    </w:p>
    <w:p w14:paraId="3FA646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4"/>
          <w:szCs w:val="24"/>
        </w:rPr>
      </w:pPr>
      <w:r>
        <w:rPr>
          <w:color w:val="000000"/>
          <w:sz w:val="24"/>
          <w:szCs w:val="24"/>
          <w:shd w:val="clear" w:fill="FFFFFF"/>
        </w:rPr>
        <w:t>（八）防火门设施损坏、缺失严重</w:t>
      </w:r>
    </w:p>
    <w:p w14:paraId="076E1D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r>
        <w:rPr>
          <w:rFonts w:ascii="宋体" w:hAnsi="宋体" w:eastAsia="宋体" w:cs="宋体"/>
          <w:color w:val="000000"/>
          <w:kern w:val="0"/>
          <w:sz w:val="24"/>
          <w:szCs w:val="24"/>
          <w:shd w:val="clear" w:fill="FFFFFF"/>
          <w:lang w:val="en-US" w:eastAsia="zh-CN" w:bidi="ar"/>
        </w:rPr>
        <w:t>设备房、楼梯间等关键位置的防火门普遍存在破损、遗失情况，部分防火门门扇、门框变形损坏，无法正常关闭；大量防火门的闭门器、顺序器、插销等关键组件缺失，导致防火门失去应有的防火、隔烟功能，无法在火灾发生时有效阻挡火势和浓烟扩散，无法为人员疏散争取宝贵时间。</w:t>
      </w:r>
    </w:p>
    <w:tbl>
      <w:tblPr>
        <w:tblStyle w:val="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30"/>
        <w:gridCol w:w="2130"/>
        <w:gridCol w:w="2130"/>
        <w:gridCol w:w="2132"/>
      </w:tblGrid>
      <w:tr w14:paraId="59481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130" w:type="dxa"/>
            <w:tcBorders>
              <w:tl2br w:val="nil"/>
              <w:tr2bl w:val="nil"/>
            </w:tcBorders>
            <w:vAlign w:val="top"/>
          </w:tcPr>
          <w:p w14:paraId="072EE03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982980" cy="1311275"/>
                  <wp:effectExtent l="0" t="0" r="7620" b="3175"/>
                  <wp:docPr id="44" name="图片 44" descr="281e61c52fc89890527aec0ae4755a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281e61c52fc89890527aec0ae4755ad6"/>
                          <pic:cNvPicPr>
                            <a:picLocks noChangeAspect="1"/>
                          </pic:cNvPicPr>
                        </pic:nvPicPr>
                        <pic:blipFill>
                          <a:blip r:embed="rId25"/>
                          <a:stretch>
                            <a:fillRect/>
                          </a:stretch>
                        </pic:blipFill>
                        <pic:spPr>
                          <a:xfrm>
                            <a:off x="0" y="0"/>
                            <a:ext cx="982980" cy="1311275"/>
                          </a:xfrm>
                          <a:prstGeom prst="rect">
                            <a:avLst/>
                          </a:prstGeom>
                        </pic:spPr>
                      </pic:pic>
                    </a:graphicData>
                  </a:graphic>
                </wp:inline>
              </w:drawing>
            </w:r>
          </w:p>
        </w:tc>
        <w:tc>
          <w:tcPr>
            <w:tcW w:w="2130" w:type="dxa"/>
            <w:tcBorders>
              <w:tl2br w:val="nil"/>
              <w:tr2bl w:val="nil"/>
            </w:tcBorders>
            <w:vAlign w:val="top"/>
          </w:tcPr>
          <w:p w14:paraId="6E2E7AE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984885" cy="1314450"/>
                  <wp:effectExtent l="0" t="0" r="5715" b="0"/>
                  <wp:docPr id="45" name="图片 45" descr="f79427fa94ff199be46a888e20b65f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f79427fa94ff199be46a888e20b65fa3"/>
                          <pic:cNvPicPr>
                            <a:picLocks noChangeAspect="1"/>
                          </pic:cNvPicPr>
                        </pic:nvPicPr>
                        <pic:blipFill>
                          <a:blip r:embed="rId26"/>
                          <a:stretch>
                            <a:fillRect/>
                          </a:stretch>
                        </pic:blipFill>
                        <pic:spPr>
                          <a:xfrm>
                            <a:off x="0" y="0"/>
                            <a:ext cx="984885" cy="1314450"/>
                          </a:xfrm>
                          <a:prstGeom prst="rect">
                            <a:avLst/>
                          </a:prstGeom>
                        </pic:spPr>
                      </pic:pic>
                    </a:graphicData>
                  </a:graphic>
                </wp:inline>
              </w:drawing>
            </w:r>
          </w:p>
        </w:tc>
        <w:tc>
          <w:tcPr>
            <w:tcW w:w="2130" w:type="dxa"/>
            <w:tcBorders>
              <w:tl2br w:val="nil"/>
              <w:tr2bl w:val="nil"/>
            </w:tcBorders>
            <w:vAlign w:val="top"/>
          </w:tcPr>
          <w:p w14:paraId="552DD25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976630" cy="1302385"/>
                  <wp:effectExtent l="0" t="0" r="13970" b="12065"/>
                  <wp:docPr id="46" name="图片 46" descr="709956827d033e1e73e1d294dcde234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709956827d033e1e73e1d294dcde234f"/>
                          <pic:cNvPicPr>
                            <a:picLocks noChangeAspect="1"/>
                          </pic:cNvPicPr>
                        </pic:nvPicPr>
                        <pic:blipFill>
                          <a:blip r:embed="rId27"/>
                          <a:stretch>
                            <a:fillRect/>
                          </a:stretch>
                        </pic:blipFill>
                        <pic:spPr>
                          <a:xfrm>
                            <a:off x="0" y="0"/>
                            <a:ext cx="976630" cy="1302385"/>
                          </a:xfrm>
                          <a:prstGeom prst="rect">
                            <a:avLst/>
                          </a:prstGeom>
                        </pic:spPr>
                      </pic:pic>
                    </a:graphicData>
                  </a:graphic>
                </wp:inline>
              </w:drawing>
            </w:r>
          </w:p>
        </w:tc>
        <w:tc>
          <w:tcPr>
            <w:tcW w:w="2132" w:type="dxa"/>
            <w:tcBorders>
              <w:tl2br w:val="nil"/>
              <w:tr2bl w:val="nil"/>
            </w:tcBorders>
            <w:vAlign w:val="top"/>
          </w:tcPr>
          <w:p w14:paraId="6A698B9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956310" cy="1276350"/>
                  <wp:effectExtent l="0" t="0" r="15240" b="0"/>
                  <wp:docPr id="47" name="图片 47" descr="e341cbe549caa26a118707d9bddd14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e341cbe549caa26a118707d9bddd14e3"/>
                          <pic:cNvPicPr>
                            <a:picLocks noChangeAspect="1"/>
                          </pic:cNvPicPr>
                        </pic:nvPicPr>
                        <pic:blipFill>
                          <a:blip r:embed="rId28"/>
                          <a:stretch>
                            <a:fillRect/>
                          </a:stretch>
                        </pic:blipFill>
                        <pic:spPr>
                          <a:xfrm>
                            <a:off x="0" y="0"/>
                            <a:ext cx="956310" cy="1276350"/>
                          </a:xfrm>
                          <a:prstGeom prst="rect">
                            <a:avLst/>
                          </a:prstGeom>
                        </pic:spPr>
                      </pic:pic>
                    </a:graphicData>
                  </a:graphic>
                </wp:inline>
              </w:drawing>
            </w:r>
          </w:p>
        </w:tc>
      </w:tr>
    </w:tbl>
    <w:p w14:paraId="589BD81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jc w:val="left"/>
        <w:rPr>
          <w:rFonts w:ascii="宋体" w:hAnsi="宋体" w:eastAsia="宋体" w:cs="宋体"/>
          <w:color w:val="000000"/>
          <w:kern w:val="0"/>
          <w:sz w:val="24"/>
          <w:szCs w:val="24"/>
          <w:shd w:val="clear" w:fill="FFFFFF"/>
          <w:lang w:val="en-US" w:eastAsia="zh-CN" w:bidi="ar"/>
        </w:rPr>
      </w:pPr>
    </w:p>
    <w:p w14:paraId="2BD9D2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4"/>
          <w:szCs w:val="24"/>
        </w:rPr>
      </w:pPr>
      <w:r>
        <w:rPr>
          <w:color w:val="000000"/>
          <w:sz w:val="24"/>
          <w:szCs w:val="24"/>
          <w:shd w:val="clear" w:fill="FFFFFF"/>
        </w:rPr>
        <w:t>（九）应急照明及疏散指示系统故障频发</w:t>
      </w:r>
    </w:p>
    <w:p w14:paraId="25A199A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r>
        <w:rPr>
          <w:rFonts w:ascii="宋体" w:hAnsi="宋体" w:eastAsia="宋体" w:cs="宋体"/>
          <w:color w:val="000000"/>
          <w:kern w:val="0"/>
          <w:sz w:val="24"/>
          <w:szCs w:val="24"/>
          <w:shd w:val="clear" w:fill="FFFFFF"/>
          <w:lang w:val="en-US" w:eastAsia="zh-CN" w:bidi="ar"/>
        </w:rPr>
        <w:t>小区内绝大部分应急照明灯、疏散指示灯出现故障，部分灯具无法正常点亮，部分灯具亮度不足，还有部分灯具指示方向错误或模糊不清。在突发火灾等紧急情况下，无法为居民提供清晰、准确的疏散指引和必要的照明，极易导致人员恐慌、迷路，影响疏散效率，甚至可能造成人员伤亡。</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5FECE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Borders>
              <w:tl2br w:val="nil"/>
              <w:tr2bl w:val="nil"/>
            </w:tcBorders>
            <w:vAlign w:val="top"/>
          </w:tcPr>
          <w:p w14:paraId="7B269D0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2564130" cy="1924685"/>
                  <wp:effectExtent l="0" t="0" r="7620" b="18415"/>
                  <wp:docPr id="50" name="图片 50" descr="73ff152cecf090bf8272fe9239c78a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73ff152cecf090bf8272fe9239c78a37"/>
                          <pic:cNvPicPr>
                            <a:picLocks noChangeAspect="1"/>
                          </pic:cNvPicPr>
                        </pic:nvPicPr>
                        <pic:blipFill>
                          <a:blip r:embed="rId29"/>
                          <a:stretch>
                            <a:fillRect/>
                          </a:stretch>
                        </pic:blipFill>
                        <pic:spPr>
                          <a:xfrm>
                            <a:off x="0" y="0"/>
                            <a:ext cx="2564130" cy="1924685"/>
                          </a:xfrm>
                          <a:prstGeom prst="rect">
                            <a:avLst/>
                          </a:prstGeom>
                        </pic:spPr>
                      </pic:pic>
                    </a:graphicData>
                  </a:graphic>
                </wp:inline>
              </w:drawing>
            </w:r>
          </w:p>
        </w:tc>
        <w:tc>
          <w:tcPr>
            <w:tcW w:w="4261" w:type="dxa"/>
            <w:tcBorders>
              <w:tl2br w:val="nil"/>
              <w:tr2bl w:val="nil"/>
            </w:tcBorders>
            <w:vAlign w:val="top"/>
          </w:tcPr>
          <w:p w14:paraId="342821B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2564130" cy="1924685"/>
                  <wp:effectExtent l="0" t="0" r="7620" b="18415"/>
                  <wp:docPr id="52" name="图片 52" descr="9034c43c4a669a74ced874ba79be22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9034c43c4a669a74ced874ba79be227a"/>
                          <pic:cNvPicPr>
                            <a:picLocks noChangeAspect="1"/>
                          </pic:cNvPicPr>
                        </pic:nvPicPr>
                        <pic:blipFill>
                          <a:blip r:embed="rId24"/>
                          <a:stretch>
                            <a:fillRect/>
                          </a:stretch>
                        </pic:blipFill>
                        <pic:spPr>
                          <a:xfrm>
                            <a:off x="0" y="0"/>
                            <a:ext cx="2564130" cy="1924685"/>
                          </a:xfrm>
                          <a:prstGeom prst="rect">
                            <a:avLst/>
                          </a:prstGeom>
                        </pic:spPr>
                      </pic:pic>
                    </a:graphicData>
                  </a:graphic>
                </wp:inline>
              </w:drawing>
            </w:r>
          </w:p>
        </w:tc>
      </w:tr>
      <w:tr w14:paraId="28E8C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Borders>
              <w:tl2br w:val="nil"/>
              <w:tr2bl w:val="nil"/>
            </w:tcBorders>
            <w:vAlign w:val="top"/>
          </w:tcPr>
          <w:p w14:paraId="4BD3D65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1477645" cy="1969770"/>
                  <wp:effectExtent l="0" t="0" r="8255" b="11430"/>
                  <wp:docPr id="51" name="图片 51" descr="8568332c7fd624e00800be511f1d3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8568332c7fd624e00800be511f1d3067"/>
                          <pic:cNvPicPr>
                            <a:picLocks noChangeAspect="1"/>
                          </pic:cNvPicPr>
                        </pic:nvPicPr>
                        <pic:blipFill>
                          <a:blip r:embed="rId30"/>
                          <a:stretch>
                            <a:fillRect/>
                          </a:stretch>
                        </pic:blipFill>
                        <pic:spPr>
                          <a:xfrm>
                            <a:off x="0" y="0"/>
                            <a:ext cx="1477645" cy="1969770"/>
                          </a:xfrm>
                          <a:prstGeom prst="rect">
                            <a:avLst/>
                          </a:prstGeom>
                        </pic:spPr>
                      </pic:pic>
                    </a:graphicData>
                  </a:graphic>
                </wp:inline>
              </w:drawing>
            </w:r>
          </w:p>
        </w:tc>
        <w:tc>
          <w:tcPr>
            <w:tcW w:w="4261" w:type="dxa"/>
            <w:tcBorders>
              <w:tl2br w:val="nil"/>
              <w:tr2bl w:val="nil"/>
            </w:tcBorders>
            <w:vAlign w:val="top"/>
          </w:tcPr>
          <w:p w14:paraId="2E400FF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sz w:val="24"/>
                <w:szCs w:val="24"/>
                <w:vertAlign w:val="baseline"/>
                <w:lang w:val="en-US" w:eastAsia="zh-CN"/>
              </w:rPr>
            </w:pPr>
            <w:r>
              <w:rPr>
                <w:rFonts w:hint="eastAsia" w:ascii="宋体" w:hAnsi="宋体" w:eastAsia="宋体" w:cs="宋体"/>
                <w:b w:val="0"/>
                <w:bCs/>
                <w:color w:val="auto"/>
                <w:sz w:val="24"/>
                <w:szCs w:val="24"/>
                <w:vertAlign w:val="baseline"/>
                <w:lang w:val="en-US" w:eastAsia="zh-CN"/>
              </w:rPr>
              <w:drawing>
                <wp:inline distT="0" distB="0" distL="114300" distR="114300">
                  <wp:extent cx="2564130" cy="1924685"/>
                  <wp:effectExtent l="0" t="0" r="7620" b="18415"/>
                  <wp:docPr id="55" name="图片 55" descr="cf9cbd48d75fe0600461ce62156607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cf9cbd48d75fe0600461ce621566073c"/>
                          <pic:cNvPicPr>
                            <a:picLocks noChangeAspect="1"/>
                          </pic:cNvPicPr>
                        </pic:nvPicPr>
                        <pic:blipFill>
                          <a:blip r:embed="rId31"/>
                          <a:stretch>
                            <a:fillRect/>
                          </a:stretch>
                        </pic:blipFill>
                        <pic:spPr>
                          <a:xfrm>
                            <a:off x="0" y="0"/>
                            <a:ext cx="2564130" cy="1924685"/>
                          </a:xfrm>
                          <a:prstGeom prst="rect">
                            <a:avLst/>
                          </a:prstGeom>
                        </pic:spPr>
                      </pic:pic>
                    </a:graphicData>
                  </a:graphic>
                </wp:inline>
              </w:drawing>
            </w:r>
          </w:p>
        </w:tc>
      </w:tr>
    </w:tbl>
    <w:p w14:paraId="4A9E524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jc w:val="left"/>
        <w:rPr>
          <w:rFonts w:ascii="宋体" w:hAnsi="宋体" w:eastAsia="宋体" w:cs="宋体"/>
          <w:color w:val="000000"/>
          <w:kern w:val="0"/>
          <w:sz w:val="24"/>
          <w:szCs w:val="24"/>
          <w:shd w:val="clear" w:fill="FFFFFF"/>
          <w:lang w:val="en-US" w:eastAsia="zh-CN" w:bidi="ar"/>
        </w:rPr>
      </w:pPr>
    </w:p>
    <w:p w14:paraId="6DBFEA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4"/>
          <w:szCs w:val="24"/>
        </w:rPr>
      </w:pPr>
      <w:r>
        <w:rPr>
          <w:color w:val="000000"/>
          <w:sz w:val="24"/>
          <w:szCs w:val="24"/>
          <w:shd w:val="clear" w:fill="FFFFFF"/>
        </w:rPr>
        <w:t>（十）灭火器配置不符合安全要求</w:t>
      </w:r>
    </w:p>
    <w:p w14:paraId="678252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r>
        <w:rPr>
          <w:rFonts w:ascii="宋体" w:hAnsi="宋体" w:eastAsia="宋体" w:cs="宋体"/>
          <w:color w:val="000000"/>
          <w:kern w:val="0"/>
          <w:sz w:val="24"/>
          <w:szCs w:val="24"/>
          <w:shd w:val="clear" w:fill="FFFFFF"/>
          <w:lang w:val="en-US" w:eastAsia="zh-CN" w:bidi="ar"/>
        </w:rPr>
        <w:t>经排查，小区大部分楼层内及地下室的灭火器（除 58 号楼外）均已超过重新灌装的日期，灭火药剂有效性无法得到保证；同时，不少灭火器生产于 2016 年，已接近报废年限，灭火器的筒体、阀门等部件可能存在老化、腐蚀等问题，无法确保其在火灾发生时能够正常喷射灭火，严重影响初期火灾的扑救效果，无法及时控制火势蔓延。</w:t>
      </w:r>
    </w:p>
    <w:p w14:paraId="77AE534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jc w:val="left"/>
        <w:rPr>
          <w:rFonts w:ascii="宋体" w:hAnsi="宋体" w:eastAsia="宋体" w:cs="宋体"/>
          <w:color w:val="000000"/>
          <w:kern w:val="0"/>
          <w:sz w:val="24"/>
          <w:szCs w:val="24"/>
          <w:shd w:val="clear" w:fill="FFFFFF"/>
          <w:lang w:val="en-US" w:eastAsia="zh-CN" w:bidi="ar"/>
        </w:rPr>
      </w:pPr>
    </w:p>
    <w:p w14:paraId="77DB7C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8"/>
          <w:szCs w:val="28"/>
        </w:rPr>
      </w:pPr>
      <w:r>
        <w:rPr>
          <w:color w:val="000000"/>
          <w:sz w:val="28"/>
          <w:szCs w:val="28"/>
          <w:shd w:val="clear" w:fill="FFFFFF"/>
        </w:rPr>
        <w:t>三、问题成因分析</w:t>
      </w:r>
    </w:p>
    <w:p w14:paraId="5FAE2C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4"/>
          <w:szCs w:val="24"/>
        </w:rPr>
      </w:pPr>
      <w:r>
        <w:rPr>
          <w:color w:val="000000"/>
          <w:sz w:val="24"/>
          <w:szCs w:val="24"/>
          <w:shd w:val="clear" w:fill="FFFFFF"/>
        </w:rPr>
        <w:t>（一）维护管理责任落实不到位</w:t>
      </w:r>
    </w:p>
    <w:p w14:paraId="5155E1E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r>
        <w:rPr>
          <w:rFonts w:ascii="宋体" w:hAnsi="宋体" w:eastAsia="宋体" w:cs="宋体"/>
          <w:color w:val="000000"/>
          <w:kern w:val="0"/>
          <w:sz w:val="24"/>
          <w:szCs w:val="24"/>
          <w:shd w:val="clear" w:fill="FFFFFF"/>
          <w:lang w:val="en-US" w:eastAsia="zh-CN" w:bidi="ar"/>
        </w:rPr>
        <w:t>小区物业管理单位未能严格履行消防安全主体责任，对消防设施的维护管理工作重视程度不足，未建立健全完善的消防设施定期维护保养制度，长期未组织专业人员对小区内各类消防设施进行全面、规范的检查、维护与保养，导致设施设备老化、损坏问题未能及时发现和处理，逐步积累形成各类消防安全隐患。</w:t>
      </w:r>
    </w:p>
    <w:p w14:paraId="056E524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p>
    <w:p w14:paraId="2EDC08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4"/>
          <w:szCs w:val="24"/>
        </w:rPr>
      </w:pPr>
      <w:r>
        <w:rPr>
          <w:color w:val="000000"/>
          <w:sz w:val="24"/>
          <w:szCs w:val="24"/>
          <w:shd w:val="clear" w:fill="FFFFFF"/>
        </w:rPr>
        <w:t>（二）资金投入不足</w:t>
      </w:r>
    </w:p>
    <w:p w14:paraId="2A8393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r>
        <w:rPr>
          <w:rFonts w:ascii="宋体" w:hAnsi="宋体" w:eastAsia="宋体" w:cs="宋体"/>
          <w:color w:val="000000"/>
          <w:kern w:val="0"/>
          <w:sz w:val="24"/>
          <w:szCs w:val="24"/>
          <w:shd w:val="clear" w:fill="FFFFFF"/>
          <w:lang w:val="en-US" w:eastAsia="zh-CN" w:bidi="ar"/>
        </w:rPr>
        <w:t>消防设施的维护保养、更新改造需要一定的资金支持，但小区在消防设施维护管理方面的资金投入严重不足，对于已损坏、老化的设施设备，未能及时安排资金进行维修、更换或升级改造，导致部分设施设备长期处于失效状态，无法正常发挥消防安全保障作用。</w:t>
      </w:r>
    </w:p>
    <w:p w14:paraId="0991BB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p>
    <w:p w14:paraId="21596C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4"/>
          <w:szCs w:val="24"/>
        </w:rPr>
      </w:pPr>
      <w:r>
        <w:rPr>
          <w:color w:val="000000"/>
          <w:sz w:val="24"/>
          <w:szCs w:val="24"/>
          <w:shd w:val="clear" w:fill="FFFFFF"/>
        </w:rPr>
        <w:t>（三）专业技术力量缺乏</w:t>
      </w:r>
    </w:p>
    <w:p w14:paraId="5CFEF19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r>
        <w:rPr>
          <w:rFonts w:ascii="宋体" w:hAnsi="宋体" w:eastAsia="宋体" w:cs="宋体"/>
          <w:color w:val="000000"/>
          <w:kern w:val="0"/>
          <w:sz w:val="24"/>
          <w:szCs w:val="24"/>
          <w:shd w:val="clear" w:fill="FFFFFF"/>
          <w:lang w:val="en-US" w:eastAsia="zh-CN" w:bidi="ar"/>
        </w:rPr>
        <w:t>小区物业管理单位缺乏专业的消防设施维护管理技术人员，现有工作人员未接受过系统的专业培训，不具备消防设施维护、检测的专业知识和技能，无法及时发现消防设施存在的潜在问题，也无法对出现故障的设施设备进行有效的维修处理，导致消防设施问题日益严重。</w:t>
      </w:r>
    </w:p>
    <w:p w14:paraId="1784C96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p>
    <w:p w14:paraId="0B2FCB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4"/>
          <w:szCs w:val="24"/>
        </w:rPr>
      </w:pPr>
      <w:r>
        <w:rPr>
          <w:color w:val="000000"/>
          <w:sz w:val="24"/>
          <w:szCs w:val="24"/>
          <w:shd w:val="clear" w:fill="FFFFFF"/>
        </w:rPr>
        <w:t>（四）居民消防安全意识淡薄</w:t>
      </w:r>
    </w:p>
    <w:p w14:paraId="4FD0F25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r>
        <w:rPr>
          <w:rFonts w:ascii="宋体" w:hAnsi="宋体" w:eastAsia="宋体" w:cs="宋体"/>
          <w:color w:val="000000"/>
          <w:kern w:val="0"/>
          <w:sz w:val="24"/>
          <w:szCs w:val="24"/>
          <w:shd w:val="clear" w:fill="FFFFFF"/>
          <w:lang w:val="en-US" w:eastAsia="zh-CN" w:bidi="ar"/>
        </w:rPr>
        <w:t>部分居民对消防安全重视程度不够，存在随意损坏、挪用消防设施的行为，如损坏消火栓箱玻璃、盗用消防水带等，同时，居民在日常生活中未及时向物业管理单位反馈发现的消防设施问题，也在一定程度上加剧了消防设施损坏、失效的情况。</w:t>
      </w:r>
    </w:p>
    <w:p w14:paraId="2D47D0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jc w:val="left"/>
        <w:rPr>
          <w:rFonts w:ascii="宋体" w:hAnsi="宋体" w:eastAsia="宋体" w:cs="宋体"/>
          <w:color w:val="000000"/>
          <w:kern w:val="0"/>
          <w:sz w:val="24"/>
          <w:szCs w:val="24"/>
          <w:shd w:val="clear" w:fill="FFFFFF"/>
          <w:lang w:val="en-US" w:eastAsia="zh-CN" w:bidi="ar"/>
        </w:rPr>
      </w:pPr>
    </w:p>
    <w:p w14:paraId="40B827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8"/>
          <w:szCs w:val="28"/>
        </w:rPr>
      </w:pPr>
      <w:r>
        <w:rPr>
          <w:color w:val="000000"/>
          <w:sz w:val="28"/>
          <w:szCs w:val="28"/>
          <w:shd w:val="clear" w:fill="FFFFFF"/>
        </w:rPr>
        <w:t>四、整改建议</w:t>
      </w:r>
    </w:p>
    <w:p w14:paraId="0302BB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4"/>
          <w:szCs w:val="24"/>
        </w:rPr>
      </w:pPr>
      <w:r>
        <w:rPr>
          <w:color w:val="000000"/>
          <w:sz w:val="24"/>
          <w:szCs w:val="24"/>
          <w:shd w:val="clear" w:fill="FFFFFF"/>
        </w:rPr>
        <w:t>（一）明确整改责任主体</w:t>
      </w:r>
    </w:p>
    <w:p w14:paraId="7F40929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r>
        <w:rPr>
          <w:rFonts w:ascii="宋体" w:hAnsi="宋体" w:eastAsia="宋体" w:cs="宋体"/>
          <w:color w:val="000000"/>
          <w:kern w:val="0"/>
          <w:sz w:val="24"/>
          <w:szCs w:val="24"/>
          <w:shd w:val="clear" w:fill="FFFFFF"/>
          <w:lang w:val="en-US" w:eastAsia="zh-CN" w:bidi="ar"/>
        </w:rPr>
        <w:t>小区物业管理单位作为消防安全责任主体，应切实履行消防安全管理职责，成立专项整改工作小组，明确责任人、整改措施、整改期限，制定详细的整改方案，全面推进消防设施问题整改工作。同时，小区业主委员会应加强对整改工作的监督，确保整改工作落到实处。</w:t>
      </w:r>
    </w:p>
    <w:p w14:paraId="785BF74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p>
    <w:p w14:paraId="70F3F8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4"/>
          <w:szCs w:val="24"/>
        </w:rPr>
      </w:pPr>
      <w:r>
        <w:rPr>
          <w:color w:val="000000"/>
          <w:sz w:val="24"/>
          <w:szCs w:val="24"/>
          <w:shd w:val="clear" w:fill="FFFFFF"/>
        </w:rPr>
        <w:t>（二）加大资金投入力度</w:t>
      </w:r>
    </w:p>
    <w:p w14:paraId="3423FEE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r>
        <w:rPr>
          <w:rFonts w:ascii="宋体" w:hAnsi="宋体" w:eastAsia="宋体" w:cs="宋体"/>
          <w:color w:val="000000"/>
          <w:kern w:val="0"/>
          <w:sz w:val="24"/>
          <w:szCs w:val="24"/>
          <w:shd w:val="clear" w:fill="FFFFFF"/>
          <w:lang w:val="en-US" w:eastAsia="zh-CN" w:bidi="ar"/>
        </w:rPr>
        <w:t>物业管理单位应积极筹措资金，合理安排消防设施维护、更新改造专项经费，优先保障急需维修、更换的消防设施项目资金需求，及时对损坏、老化、失效的消防设施设备进行维修、更换或升级改造，确保各类消防设施恢复正常功能，符合消防安全规范要求。</w:t>
      </w:r>
    </w:p>
    <w:p w14:paraId="4F7B023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p>
    <w:p w14:paraId="26AAE4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4"/>
          <w:szCs w:val="24"/>
        </w:rPr>
      </w:pPr>
      <w:r>
        <w:rPr>
          <w:color w:val="000000"/>
          <w:sz w:val="24"/>
          <w:szCs w:val="24"/>
          <w:shd w:val="clear" w:fill="FFFFFF"/>
        </w:rPr>
        <w:t>（三）完善消防设施维护管理制度</w:t>
      </w:r>
    </w:p>
    <w:p w14:paraId="5C9FEF0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r>
        <w:rPr>
          <w:rFonts w:ascii="宋体" w:hAnsi="宋体" w:eastAsia="宋体" w:cs="宋体"/>
          <w:color w:val="000000"/>
          <w:kern w:val="0"/>
          <w:sz w:val="24"/>
          <w:szCs w:val="24"/>
          <w:shd w:val="clear" w:fill="FFFFFF"/>
          <w:lang w:val="en-US" w:eastAsia="zh-CN" w:bidi="ar"/>
        </w:rPr>
        <w:t>建立健全消防设施定期检查、维护保养、检测检验制度，明确检查周期、检查内容、责任人员，定期组织专业人员对小区内所有消防设施进行全面检查、维护与保养，详细记录检查结果、维护情况及设备运行状态，建立完善的消防设施管理档案，确保消防设施始终处于良好运行状态。</w:t>
      </w:r>
    </w:p>
    <w:p w14:paraId="3F9143E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p>
    <w:p w14:paraId="62899C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4"/>
          <w:szCs w:val="24"/>
        </w:rPr>
      </w:pPr>
      <w:r>
        <w:rPr>
          <w:color w:val="000000"/>
          <w:sz w:val="24"/>
          <w:szCs w:val="24"/>
          <w:shd w:val="clear" w:fill="FFFFFF"/>
        </w:rPr>
        <w:t>（四）加强专业技术培训</w:t>
      </w:r>
    </w:p>
    <w:p w14:paraId="071F848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r>
        <w:rPr>
          <w:rFonts w:ascii="宋体" w:hAnsi="宋体" w:eastAsia="宋体" w:cs="宋体"/>
          <w:color w:val="000000"/>
          <w:kern w:val="0"/>
          <w:sz w:val="24"/>
          <w:szCs w:val="24"/>
          <w:shd w:val="clear" w:fill="FFFFFF"/>
          <w:lang w:val="en-US" w:eastAsia="zh-CN" w:bidi="ar"/>
        </w:rPr>
        <w:t>组织小区物业管理单位相关工作人员参加消防设施维护管理专业技术培训，邀请消防专家进行现场指导，提升工作人员的专业知识和操作技能，使其能够熟练掌握消防设施的检查、维护、保养方法及常见故障处理技巧，确保能够及时发现和处理消防设施存在的问题。</w:t>
      </w:r>
    </w:p>
    <w:p w14:paraId="3AF543A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p>
    <w:p w14:paraId="0457DF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4"/>
          <w:szCs w:val="24"/>
        </w:rPr>
      </w:pPr>
      <w:r>
        <w:rPr>
          <w:color w:val="000000"/>
          <w:sz w:val="24"/>
          <w:szCs w:val="24"/>
          <w:shd w:val="clear" w:fill="FFFFFF"/>
        </w:rPr>
        <w:t>（五）强化居民消防安全宣传教育</w:t>
      </w:r>
    </w:p>
    <w:p w14:paraId="49D3B8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r>
        <w:rPr>
          <w:rFonts w:ascii="宋体" w:hAnsi="宋体" w:eastAsia="宋体" w:cs="宋体"/>
          <w:color w:val="000000"/>
          <w:kern w:val="0"/>
          <w:sz w:val="24"/>
          <w:szCs w:val="24"/>
          <w:shd w:val="clear" w:fill="FFFFFF"/>
          <w:lang w:val="en-US" w:eastAsia="zh-CN" w:bidi="ar"/>
        </w:rPr>
        <w:t>通过小区公告栏、业主微信群、宣传栏等多种渠道，广泛开展消防安全宣传教育活动，向居民普及消防安全知识、消防设施使用方法及损坏消防设施的法律责任等内容，</w:t>
      </w:r>
      <w:r>
        <w:rPr>
          <w:rFonts w:hint="eastAsia" w:ascii="宋体" w:hAnsi="宋体" w:eastAsia="宋体" w:cs="宋体"/>
          <w:color w:val="000000"/>
          <w:kern w:val="0"/>
          <w:sz w:val="24"/>
          <w:szCs w:val="24"/>
          <w:shd w:val="clear" w:fill="FFFFFF"/>
          <w:lang w:val="en-US" w:eastAsia="zh-CN" w:bidi="ar"/>
        </w:rPr>
        <w:t>增强</w:t>
      </w:r>
      <w:r>
        <w:rPr>
          <w:rFonts w:ascii="宋体" w:hAnsi="宋体" w:eastAsia="宋体" w:cs="宋体"/>
          <w:color w:val="000000"/>
          <w:kern w:val="0"/>
          <w:sz w:val="24"/>
          <w:szCs w:val="24"/>
          <w:shd w:val="clear" w:fill="FFFFFF"/>
          <w:lang w:val="en-US" w:eastAsia="zh-CN" w:bidi="ar"/>
        </w:rPr>
        <w:t>居民的消防安全意识和自我保护能力，引导居民自觉爱护消防设施，及时反馈消防设施问题，形成人人关注消防安全、共同维护消防设施的良好氛围。</w:t>
      </w:r>
    </w:p>
    <w:p w14:paraId="0CAF06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p>
    <w:p w14:paraId="7B76F4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rFonts w:hint="eastAsia" w:eastAsia="宋体"/>
          <w:color w:val="000000"/>
          <w:sz w:val="24"/>
          <w:szCs w:val="24"/>
          <w:lang w:eastAsia="zh-CN"/>
        </w:rPr>
      </w:pPr>
      <w:r>
        <w:rPr>
          <w:color w:val="000000"/>
          <w:sz w:val="24"/>
          <w:szCs w:val="24"/>
          <w:shd w:val="clear" w:fill="FFFFFF"/>
        </w:rPr>
        <w:t>（六）</w:t>
      </w:r>
      <w:r>
        <w:rPr>
          <w:rFonts w:hint="eastAsia"/>
          <w:color w:val="000000"/>
          <w:sz w:val="24"/>
          <w:szCs w:val="24"/>
          <w:shd w:val="clear" w:fill="FFFFFF"/>
          <w:lang w:val="en-US" w:eastAsia="zh-CN"/>
        </w:rPr>
        <w:t>逐步</w:t>
      </w:r>
      <w:r>
        <w:rPr>
          <w:color w:val="000000"/>
          <w:sz w:val="24"/>
          <w:szCs w:val="24"/>
          <w:shd w:val="clear" w:fill="FFFFFF"/>
        </w:rPr>
        <w:t>推进具体问题整改</w:t>
      </w:r>
      <w:r>
        <w:rPr>
          <w:rFonts w:hint="eastAsia"/>
          <w:color w:val="000000"/>
          <w:sz w:val="24"/>
          <w:szCs w:val="24"/>
          <w:shd w:val="clear" w:fill="FFFFFF"/>
        </w:rPr>
        <w:t>（结合实际需求优化整改重点）</w:t>
      </w:r>
    </w:p>
    <w:p w14:paraId="1DBCB072">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hanging="360"/>
        <w:jc w:val="left"/>
        <w:rPr>
          <w:color w:val="000000"/>
          <w:sz w:val="24"/>
          <w:szCs w:val="24"/>
        </w:rPr>
      </w:pPr>
      <w:r>
        <w:rPr>
          <w:rFonts w:hint="eastAsia"/>
          <w:color w:val="000000"/>
          <w:sz w:val="24"/>
          <w:szCs w:val="24"/>
          <w:shd w:val="clear" w:fill="FFFFFF"/>
        </w:rPr>
        <w:t>地面区域：以消火栓系统修复为核心，组织专业人员全面排查地面消火栓系统的漏点，对发现的漏点及时进行修复</w:t>
      </w:r>
      <w:r>
        <w:rPr>
          <w:rFonts w:hint="eastAsia"/>
          <w:color w:val="000000"/>
          <w:sz w:val="24"/>
          <w:szCs w:val="24"/>
          <w:shd w:val="clear" w:fill="FFFFFF"/>
          <w:lang w:eastAsia="zh-CN"/>
        </w:rPr>
        <w:t>；</w:t>
      </w:r>
      <w:r>
        <w:rPr>
          <w:rFonts w:hint="eastAsia"/>
          <w:color w:val="000000"/>
          <w:sz w:val="24"/>
          <w:szCs w:val="24"/>
          <w:shd w:val="clear" w:fill="FFFFFF"/>
          <w:lang w:val="en-US" w:eastAsia="zh-CN"/>
        </w:rPr>
        <w:t>由物业单位来</w:t>
      </w:r>
      <w:r>
        <w:rPr>
          <w:rFonts w:hint="eastAsia"/>
          <w:color w:val="000000"/>
          <w:sz w:val="24"/>
          <w:szCs w:val="24"/>
          <w:shd w:val="clear" w:fill="FFFFFF"/>
        </w:rPr>
        <w:t>更换破损的消火栓部件、老化水带及缺失水枪，修复变形消火栓箱，确保地面消火栓系统供水正常、功能完好；地面区域消防报警系统暂不维修，待物业资金到位后，制定详细的计划性维修方案，逐步推进维修、调试工作，</w:t>
      </w:r>
      <w:r>
        <w:rPr>
          <w:rFonts w:hint="eastAsia"/>
          <w:color w:val="000000"/>
          <w:sz w:val="24"/>
          <w:szCs w:val="24"/>
          <w:shd w:val="clear" w:fill="FFFFFF"/>
          <w:lang w:eastAsia="zh-CN"/>
        </w:rPr>
        <w:t>期间</w:t>
      </w:r>
      <w:r>
        <w:rPr>
          <w:rFonts w:hint="eastAsia"/>
          <w:color w:val="000000"/>
          <w:sz w:val="24"/>
          <w:szCs w:val="24"/>
          <w:shd w:val="clear" w:fill="FFFFFF"/>
        </w:rPr>
        <w:t>做好相关设施的保护与日常巡查，避免问题加剧</w:t>
      </w:r>
      <w:r>
        <w:rPr>
          <w:color w:val="000000"/>
          <w:sz w:val="24"/>
          <w:szCs w:val="24"/>
          <w:shd w:val="clear" w:fill="FFFFFF"/>
        </w:rPr>
        <w:t>。</w:t>
      </w:r>
    </w:p>
    <w:p w14:paraId="10D37E1D">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hanging="360"/>
        <w:jc w:val="left"/>
        <w:rPr>
          <w:color w:val="000000"/>
          <w:sz w:val="24"/>
          <w:szCs w:val="24"/>
        </w:rPr>
      </w:pPr>
      <w:r>
        <w:rPr>
          <w:rFonts w:hint="eastAsia"/>
          <w:color w:val="000000"/>
          <w:sz w:val="24"/>
          <w:szCs w:val="24"/>
          <w:shd w:val="clear" w:fill="FFFFFF"/>
        </w:rPr>
        <w:t>地下室区域：全面更换地下室消防报警系统，包括重新安装报警主机、配套广播、声光报警装置等相关组件，对原有线路进行全面排查、梳理，修复或更换破损、断裂线路，完成系统调试，确保地下室报警系统正常运行、信号传输顺畅；针对防火卷帘系统，重点修复电动机故障、损坏的控制柜，对脱轨的卷帘进行校正、加固，完成功能测试，确保防火卷帘能够正常升降，有效划分防火分区，阻挡火势蔓延。</w:t>
      </w:r>
    </w:p>
    <w:p w14:paraId="7399776D">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hanging="360"/>
        <w:jc w:val="left"/>
        <w:rPr>
          <w:color w:val="000000"/>
          <w:sz w:val="24"/>
          <w:szCs w:val="24"/>
        </w:rPr>
      </w:pPr>
      <w:r>
        <w:rPr>
          <w:rFonts w:hint="eastAsia"/>
          <w:color w:val="000000"/>
          <w:sz w:val="24"/>
          <w:szCs w:val="24"/>
          <w:shd w:val="clear" w:fill="FFFFFF"/>
        </w:rPr>
        <w:t>防排烟系统：按照整改规划，</w:t>
      </w:r>
      <w:r>
        <w:rPr>
          <w:rFonts w:hint="eastAsia"/>
          <w:color w:val="000000"/>
          <w:sz w:val="24"/>
          <w:szCs w:val="24"/>
          <w:shd w:val="clear" w:fill="FFFFFF"/>
          <w:lang w:val="en-US" w:eastAsia="zh-CN"/>
        </w:rPr>
        <w:t>暂时不对</w:t>
      </w:r>
      <w:r>
        <w:rPr>
          <w:rFonts w:hint="eastAsia"/>
          <w:color w:val="000000"/>
          <w:sz w:val="24"/>
          <w:szCs w:val="24"/>
          <w:shd w:val="clear" w:fill="FFFFFF"/>
        </w:rPr>
        <w:t>小区内所有防排烟设施（含地下室排烟风机、楼层送风机、风管、正压风阀等）</w:t>
      </w:r>
      <w:r>
        <w:rPr>
          <w:rFonts w:hint="eastAsia"/>
          <w:color w:val="000000"/>
          <w:sz w:val="24"/>
          <w:szCs w:val="24"/>
          <w:shd w:val="clear" w:fill="FFFFFF"/>
          <w:lang w:val="en-US" w:eastAsia="zh-CN"/>
        </w:rPr>
        <w:t>进行整改</w:t>
      </w:r>
      <w:r>
        <w:rPr>
          <w:rFonts w:hint="eastAsia"/>
          <w:color w:val="000000"/>
          <w:sz w:val="24"/>
          <w:szCs w:val="24"/>
          <w:shd w:val="clear" w:fill="FFFFFF"/>
        </w:rPr>
        <w:t>，清理相关废弃设施，确保现场无安全隐患，同时做好相关记录存档，待物业资金到位后，制定详细的计划性维修方案，逐步推进维修、调试工作。</w:t>
      </w:r>
    </w:p>
    <w:p w14:paraId="08804797">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hanging="360"/>
        <w:jc w:val="left"/>
        <w:rPr>
          <w:color w:val="000000"/>
          <w:sz w:val="24"/>
          <w:szCs w:val="24"/>
        </w:rPr>
      </w:pPr>
      <w:r>
        <w:rPr>
          <w:rFonts w:hint="eastAsia"/>
          <w:color w:val="000000"/>
          <w:sz w:val="24"/>
          <w:szCs w:val="24"/>
          <w:shd w:val="clear" w:fill="FFFFFF"/>
        </w:rPr>
        <w:t>灭火器配置：</w:t>
      </w:r>
      <w:r>
        <w:rPr>
          <w:rFonts w:hint="eastAsia"/>
          <w:color w:val="000000"/>
          <w:sz w:val="24"/>
          <w:szCs w:val="24"/>
          <w:shd w:val="clear" w:fill="FFFFFF"/>
          <w:lang w:val="en-US" w:eastAsia="zh-CN"/>
        </w:rPr>
        <w:t>由物业单位逐步</w:t>
      </w:r>
      <w:r>
        <w:rPr>
          <w:rFonts w:hint="eastAsia"/>
          <w:color w:val="000000"/>
          <w:sz w:val="24"/>
          <w:szCs w:val="24"/>
          <w:shd w:val="clear" w:fill="FFFFFF"/>
        </w:rPr>
        <w:t>更换小区内不符合安全要求的灭火器，更换范围覆盖所有楼层及地下室，选用符合规范要求、在有效期内的灭火器，确保灭火器数量充足、型号合适、状态良好，保障初期火灾扑救效果；同步建立灭火器定期检查制度，及时排查过期、损坏情况</w:t>
      </w:r>
      <w:r>
        <w:rPr>
          <w:rFonts w:hint="eastAsia"/>
          <w:color w:val="000000"/>
          <w:sz w:val="24"/>
          <w:szCs w:val="24"/>
          <w:shd w:val="clear" w:fill="FFFFFF"/>
          <w:lang w:eastAsia="zh-CN"/>
        </w:rPr>
        <w:t>。</w:t>
      </w:r>
    </w:p>
    <w:p w14:paraId="49C17325">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hanging="360"/>
        <w:jc w:val="left"/>
        <w:rPr>
          <w:color w:val="000000"/>
          <w:sz w:val="24"/>
          <w:szCs w:val="24"/>
        </w:rPr>
      </w:pPr>
      <w:r>
        <w:rPr>
          <w:rFonts w:hint="eastAsia"/>
          <w:color w:val="000000"/>
          <w:sz w:val="24"/>
          <w:szCs w:val="24"/>
          <w:shd w:val="clear" w:fill="FFFFFF"/>
        </w:rPr>
        <w:t>水泵及地下室喷淋系统：对 4 处水泵房进行全面整改，重点对无法启动的消防泵、喷淋泵、稳压泵等设备进行维修或更换，加装消防电话；更换损坏的压力表，全面排查地下室喷淋管网，修复漏水、堵塞、断裂等问题，确保喷淋管网供水正常，恢复湿式报警阀组正常压力及相关设备功能。</w:t>
      </w:r>
    </w:p>
    <w:p w14:paraId="0BCBB6B7">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hanging="360"/>
        <w:jc w:val="left"/>
        <w:rPr>
          <w:color w:val="000000"/>
          <w:sz w:val="24"/>
          <w:szCs w:val="24"/>
        </w:rPr>
      </w:pPr>
      <w:r>
        <w:rPr>
          <w:rFonts w:hint="eastAsia"/>
          <w:color w:val="000000"/>
          <w:sz w:val="24"/>
          <w:szCs w:val="24"/>
          <w:shd w:val="clear" w:fill="FFFFFF"/>
        </w:rPr>
        <w:t>其他配套设施：全面修复、补全设备房、楼梯间等关键位置的防火门，更换</w:t>
      </w:r>
      <w:r>
        <w:rPr>
          <w:rFonts w:hint="eastAsia"/>
          <w:color w:val="000000"/>
          <w:sz w:val="24"/>
          <w:szCs w:val="24"/>
          <w:shd w:val="clear" w:fill="FFFFFF"/>
          <w:lang w:val="en-US" w:eastAsia="zh-CN"/>
        </w:rPr>
        <w:t>修补</w:t>
      </w:r>
      <w:r>
        <w:rPr>
          <w:rFonts w:hint="eastAsia"/>
          <w:color w:val="000000"/>
          <w:sz w:val="24"/>
          <w:szCs w:val="24"/>
          <w:shd w:val="clear" w:fill="FFFFFF"/>
        </w:rPr>
        <w:t>变形、破损的门扇、门框，补充缺失的闭门器、顺序器等关键组件，确保防火门能够正常关闭，发挥防火、隔烟功能；</w:t>
      </w:r>
      <w:r>
        <w:rPr>
          <w:rFonts w:hint="eastAsia"/>
          <w:color w:val="000000"/>
          <w:sz w:val="24"/>
          <w:szCs w:val="24"/>
          <w:shd w:val="clear" w:fill="FFFFFF"/>
          <w:lang w:val="en-US" w:eastAsia="zh-CN"/>
        </w:rPr>
        <w:t>由物业单位</w:t>
      </w:r>
      <w:r>
        <w:rPr>
          <w:rFonts w:hint="eastAsia"/>
          <w:color w:val="000000"/>
          <w:sz w:val="24"/>
          <w:szCs w:val="24"/>
          <w:shd w:val="clear" w:fill="FFFFFF"/>
        </w:rPr>
        <w:t>修复应急照明及疏散指示系统故障，更换无法正常使用的灯具，确保灯具点亮正常、指示清晰准确，为人员疏散提供可靠保障。</w:t>
      </w:r>
    </w:p>
    <w:p w14:paraId="7A99DD0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360" w:leftChars="0" w:right="0" w:rightChars="0"/>
        <w:jc w:val="left"/>
        <w:rPr>
          <w:color w:val="000000"/>
          <w:sz w:val="24"/>
          <w:szCs w:val="24"/>
        </w:rPr>
      </w:pPr>
    </w:p>
    <w:p w14:paraId="5E37C2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rPr>
          <w:color w:val="000000"/>
          <w:sz w:val="24"/>
          <w:szCs w:val="24"/>
        </w:rPr>
      </w:pPr>
      <w:r>
        <w:rPr>
          <w:color w:val="000000"/>
          <w:sz w:val="24"/>
          <w:szCs w:val="24"/>
          <w:shd w:val="clear" w:fill="FFFFFF"/>
        </w:rPr>
        <w:t>（七）建立长效管理机制</w:t>
      </w:r>
    </w:p>
    <w:p w14:paraId="578CB5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r>
        <w:rPr>
          <w:rFonts w:ascii="宋体" w:hAnsi="宋体" w:eastAsia="宋体" w:cs="宋体"/>
          <w:color w:val="000000"/>
          <w:kern w:val="0"/>
          <w:sz w:val="24"/>
          <w:szCs w:val="24"/>
          <w:shd w:val="clear" w:fill="FFFFFF"/>
          <w:lang w:val="en-US" w:eastAsia="zh-CN" w:bidi="ar"/>
        </w:rPr>
        <w:t>整改完成后，物业管理单位应建立消防设施长效管理机制，定期开展消防设施维护保养、检测工作，加强日常消防安全巡查，及时发现和消除各类消防安全隐患；同时，加强与消防部门的沟通协作，积极配合消防部门开展消防安全监督检查工作，不断提升小区消防安全管理水平，为小区居民营造安全的居住环境。</w:t>
      </w:r>
    </w:p>
    <w:p w14:paraId="25AFF3D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firstLine="480" w:firstLineChars="200"/>
        <w:jc w:val="left"/>
        <w:rPr>
          <w:rFonts w:ascii="宋体" w:hAnsi="宋体" w:eastAsia="宋体" w:cs="宋体"/>
          <w:color w:val="000000"/>
          <w:kern w:val="0"/>
          <w:sz w:val="24"/>
          <w:szCs w:val="24"/>
          <w:shd w:val="clear" w:fill="FFFFFF"/>
          <w:lang w:val="en-US" w:eastAsia="zh-CN" w:bidi="ar"/>
        </w:rPr>
      </w:pPr>
    </w:p>
    <w:p w14:paraId="172A5BA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right="0"/>
        <w:jc w:val="left"/>
        <w:rPr>
          <w:rFonts w:ascii="宋体" w:hAnsi="宋体" w:eastAsia="宋体" w:cs="宋体"/>
          <w:color w:val="000000"/>
          <w:kern w:val="0"/>
          <w:sz w:val="24"/>
          <w:szCs w:val="24"/>
          <w:shd w:val="clear" w:fill="FFFFFF"/>
          <w:lang w:val="en-US" w:eastAsia="zh-CN" w:bidi="ar"/>
        </w:rPr>
      </w:pPr>
    </w:p>
    <w:p w14:paraId="326723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240" w:lineRule="auto"/>
        <w:ind w:right="0"/>
        <w:jc w:val="left"/>
        <w:rPr>
          <w:rFonts w:hint="eastAsia" w:ascii="宋体" w:hAnsi="宋体" w:eastAsia="宋体" w:cs="宋体"/>
          <w:color w:val="000000"/>
          <w:kern w:val="0"/>
          <w:sz w:val="24"/>
          <w:szCs w:val="24"/>
          <w:shd w:val="clear" w:fill="FFFFFF"/>
          <w:lang w:val="en-US" w:eastAsia="zh-CN" w:bidi="ar"/>
        </w:rPr>
      </w:pPr>
    </w:p>
    <w:p w14:paraId="4B04A46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240" w:lineRule="auto"/>
        <w:ind w:right="0"/>
        <w:jc w:val="left"/>
        <w:rPr>
          <w:rFonts w:hint="eastAsia" w:ascii="宋体" w:hAnsi="宋体" w:eastAsia="宋体" w:cs="宋体"/>
          <w:color w:val="000000"/>
          <w:kern w:val="0"/>
          <w:sz w:val="24"/>
          <w:szCs w:val="24"/>
          <w:shd w:val="clear" w:fill="FFFFFF"/>
          <w:lang w:val="en-US" w:eastAsia="zh-CN" w:bidi="ar"/>
        </w:rPr>
      </w:pPr>
      <w:r>
        <w:rPr>
          <w:rFonts w:hint="eastAsia" w:ascii="宋体" w:hAnsi="宋体" w:eastAsia="宋体" w:cs="宋体"/>
          <w:color w:val="000000"/>
          <w:kern w:val="0"/>
          <w:sz w:val="24"/>
          <w:szCs w:val="24"/>
          <w:shd w:val="clear" w:fill="FFFFFF"/>
          <w:lang w:val="en-US" w:eastAsia="zh-CN" w:bidi="ar"/>
        </w:rPr>
        <w:t>附表一</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765"/>
        <w:gridCol w:w="840"/>
        <w:gridCol w:w="915"/>
        <w:gridCol w:w="1365"/>
        <w:gridCol w:w="945"/>
        <w:gridCol w:w="2790"/>
        <w:gridCol w:w="899"/>
      </w:tblGrid>
      <w:tr w14:paraId="60553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65" w:type="dxa"/>
            <w:vAlign w:val="center"/>
          </w:tcPr>
          <w:p w14:paraId="255B31A9">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序号</w:t>
            </w:r>
          </w:p>
        </w:tc>
        <w:tc>
          <w:tcPr>
            <w:tcW w:w="840" w:type="dxa"/>
            <w:vAlign w:val="center"/>
          </w:tcPr>
          <w:p w14:paraId="19D87CC6">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区域</w:t>
            </w:r>
          </w:p>
        </w:tc>
        <w:tc>
          <w:tcPr>
            <w:tcW w:w="915" w:type="dxa"/>
            <w:vAlign w:val="center"/>
          </w:tcPr>
          <w:p w14:paraId="50005260">
            <w:pPr>
              <w:keepNext w:val="0"/>
              <w:keepLines w:val="0"/>
              <w:widowControl/>
              <w:suppressLineNumbers w:val="0"/>
              <w:bidi w:val="0"/>
              <w:spacing w:before="0" w:beforeAutospacing="0" w:after="0" w:afterAutospacing="0" w:line="240" w:lineRule="auto"/>
              <w:ind w:right="0"/>
              <w:jc w:val="center"/>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使用</w:t>
            </w:r>
          </w:p>
          <w:p w14:paraId="48DC817E">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性质</w:t>
            </w:r>
          </w:p>
        </w:tc>
        <w:tc>
          <w:tcPr>
            <w:tcW w:w="1365" w:type="dxa"/>
            <w:vAlign w:val="center"/>
          </w:tcPr>
          <w:p w14:paraId="732A7883">
            <w:pPr>
              <w:keepNext w:val="0"/>
              <w:keepLines w:val="0"/>
              <w:widowControl/>
              <w:suppressLineNumbers w:val="0"/>
              <w:bidi w:val="0"/>
              <w:spacing w:before="0" w:beforeAutospacing="0" w:after="0" w:afterAutospacing="0" w:line="240" w:lineRule="auto"/>
              <w:ind w:right="0"/>
              <w:jc w:val="center"/>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面积</w:t>
            </w:r>
          </w:p>
          <w:p w14:paraId="682FAED1">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（平方米）</w:t>
            </w:r>
          </w:p>
        </w:tc>
        <w:tc>
          <w:tcPr>
            <w:tcW w:w="945" w:type="dxa"/>
            <w:vAlign w:val="center"/>
          </w:tcPr>
          <w:p w14:paraId="4F6B7E39">
            <w:pPr>
              <w:keepNext w:val="0"/>
              <w:keepLines w:val="0"/>
              <w:widowControl/>
              <w:suppressLineNumbers w:val="0"/>
              <w:bidi w:val="0"/>
              <w:spacing w:before="0" w:beforeAutospacing="0" w:after="0" w:afterAutospacing="0" w:line="240" w:lineRule="auto"/>
              <w:ind w:right="0"/>
              <w:jc w:val="center"/>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高度</w:t>
            </w:r>
          </w:p>
          <w:p w14:paraId="29D64330">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（米）</w:t>
            </w:r>
          </w:p>
        </w:tc>
        <w:tc>
          <w:tcPr>
            <w:tcW w:w="2790" w:type="dxa"/>
            <w:vAlign w:val="center"/>
          </w:tcPr>
          <w:p w14:paraId="296B2122">
            <w:pPr>
              <w:keepNext w:val="0"/>
              <w:keepLines w:val="0"/>
              <w:widowControl/>
              <w:suppressLineNumbers w:val="0"/>
              <w:bidi w:val="0"/>
              <w:spacing w:before="0" w:beforeAutospacing="0" w:after="0" w:afterAutospacing="0" w:line="240" w:lineRule="auto"/>
              <w:ind w:right="0"/>
              <w:jc w:val="center"/>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栋数</w:t>
            </w:r>
          </w:p>
          <w:p w14:paraId="6AE966EF">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（栋）</w:t>
            </w:r>
          </w:p>
        </w:tc>
        <w:tc>
          <w:tcPr>
            <w:tcW w:w="899" w:type="dxa"/>
            <w:vAlign w:val="center"/>
          </w:tcPr>
          <w:p w14:paraId="7663AABD">
            <w:pPr>
              <w:keepNext w:val="0"/>
              <w:keepLines w:val="0"/>
              <w:widowControl/>
              <w:suppressLineNumbers w:val="0"/>
              <w:bidi w:val="0"/>
              <w:spacing w:before="0" w:beforeAutospacing="0" w:after="0" w:afterAutospacing="0" w:line="240" w:lineRule="auto"/>
              <w:ind w:right="0"/>
              <w:jc w:val="center"/>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主机</w:t>
            </w:r>
          </w:p>
          <w:p w14:paraId="44326F0C">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品牌</w:t>
            </w:r>
          </w:p>
        </w:tc>
      </w:tr>
      <w:tr w14:paraId="567EB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765" w:type="dxa"/>
            <w:vAlign w:val="center"/>
          </w:tcPr>
          <w:p w14:paraId="7CB8723A">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1</w:t>
            </w:r>
          </w:p>
        </w:tc>
        <w:tc>
          <w:tcPr>
            <w:tcW w:w="840" w:type="dxa"/>
            <w:vAlign w:val="center"/>
          </w:tcPr>
          <w:p w14:paraId="6F75D067">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北区</w:t>
            </w:r>
          </w:p>
        </w:tc>
        <w:tc>
          <w:tcPr>
            <w:tcW w:w="915" w:type="dxa"/>
            <w:vMerge w:val="restart"/>
            <w:vAlign w:val="center"/>
          </w:tcPr>
          <w:p w14:paraId="40DBD676">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住宅、停车库</w:t>
            </w:r>
          </w:p>
        </w:tc>
        <w:tc>
          <w:tcPr>
            <w:tcW w:w="1365" w:type="dxa"/>
            <w:vMerge w:val="restart"/>
            <w:vAlign w:val="center"/>
          </w:tcPr>
          <w:p w14:paraId="0284C189">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231000</w:t>
            </w:r>
          </w:p>
        </w:tc>
        <w:tc>
          <w:tcPr>
            <w:tcW w:w="945" w:type="dxa"/>
            <w:vMerge w:val="restart"/>
            <w:vAlign w:val="center"/>
          </w:tcPr>
          <w:p w14:paraId="447CEC82">
            <w:pPr>
              <w:keepNext w:val="0"/>
              <w:keepLines w:val="0"/>
              <w:widowControl/>
              <w:suppressLineNumbers w:val="0"/>
              <w:bidi w:val="0"/>
              <w:spacing w:before="0" w:beforeAutospacing="0" w:after="0" w:afterAutospacing="0" w:line="240" w:lineRule="auto"/>
              <w:ind w:right="0"/>
              <w:jc w:val="center"/>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49.5</w:t>
            </w:r>
          </w:p>
          <w:p w14:paraId="5F085E9F">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（最高层）</w:t>
            </w:r>
          </w:p>
        </w:tc>
        <w:tc>
          <w:tcPr>
            <w:tcW w:w="2790" w:type="dxa"/>
            <w:vAlign w:val="center"/>
          </w:tcPr>
          <w:p w14:paraId="10CBE484">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ascii="宋体" w:hAnsi="宋体" w:eastAsia="宋体" w:cs="宋体"/>
                <w:color w:val="000000"/>
                <w:kern w:val="0"/>
                <w:sz w:val="24"/>
                <w:szCs w:val="24"/>
                <w:shd w:val="clear" w:fill="FFFFFF"/>
                <w:lang w:val="en-US" w:eastAsia="zh-CN" w:bidi="ar"/>
              </w:rPr>
              <w:t>8 幢 11 层、2 幢 15 层及 5 幢 6 层住宅</w:t>
            </w:r>
            <w:r>
              <w:rPr>
                <w:rFonts w:hint="eastAsia" w:ascii="宋体" w:hAnsi="宋体" w:eastAsia="宋体" w:cs="宋体"/>
                <w:color w:val="000000"/>
                <w:kern w:val="0"/>
                <w:sz w:val="24"/>
                <w:szCs w:val="24"/>
                <w:shd w:val="clear" w:fill="FFFFFF"/>
                <w:lang w:val="en-US" w:eastAsia="zh-CN" w:bidi="ar"/>
              </w:rPr>
              <w:t>，2个汽车库</w:t>
            </w:r>
          </w:p>
        </w:tc>
        <w:tc>
          <w:tcPr>
            <w:tcW w:w="899" w:type="dxa"/>
            <w:vMerge w:val="restart"/>
            <w:vAlign w:val="center"/>
          </w:tcPr>
          <w:p w14:paraId="6EABA632">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海湾</w:t>
            </w:r>
          </w:p>
        </w:tc>
      </w:tr>
      <w:tr w14:paraId="6C242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765" w:type="dxa"/>
            <w:vAlign w:val="center"/>
          </w:tcPr>
          <w:p w14:paraId="11228DAE">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2</w:t>
            </w:r>
          </w:p>
        </w:tc>
        <w:tc>
          <w:tcPr>
            <w:tcW w:w="840" w:type="dxa"/>
            <w:tcBorders/>
            <w:vAlign w:val="center"/>
          </w:tcPr>
          <w:p w14:paraId="061DF527">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南区</w:t>
            </w:r>
          </w:p>
        </w:tc>
        <w:tc>
          <w:tcPr>
            <w:tcW w:w="915" w:type="dxa"/>
            <w:vMerge w:val="continue"/>
            <w:tcBorders/>
            <w:vAlign w:val="center"/>
          </w:tcPr>
          <w:p w14:paraId="5687F115">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p>
        </w:tc>
        <w:tc>
          <w:tcPr>
            <w:tcW w:w="1365" w:type="dxa"/>
            <w:vMerge w:val="continue"/>
            <w:tcBorders/>
            <w:vAlign w:val="center"/>
          </w:tcPr>
          <w:p w14:paraId="7BC31311">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p>
        </w:tc>
        <w:tc>
          <w:tcPr>
            <w:tcW w:w="945" w:type="dxa"/>
            <w:vMerge w:val="continue"/>
            <w:tcBorders/>
            <w:vAlign w:val="center"/>
          </w:tcPr>
          <w:p w14:paraId="3C4CA8F4">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p>
        </w:tc>
        <w:tc>
          <w:tcPr>
            <w:tcW w:w="2790" w:type="dxa"/>
            <w:vAlign w:val="center"/>
          </w:tcPr>
          <w:p w14:paraId="472D849A">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ascii="宋体" w:hAnsi="宋体" w:eastAsia="宋体" w:cs="宋体"/>
                <w:color w:val="000000"/>
                <w:kern w:val="0"/>
                <w:sz w:val="24"/>
                <w:szCs w:val="24"/>
                <w:shd w:val="clear" w:fill="FFFFFF"/>
                <w:lang w:val="en-US" w:eastAsia="zh-CN" w:bidi="ar"/>
              </w:rPr>
              <w:t xml:space="preserve"> 1 幢 9 层、10 幢 15 层、9 幢 11 层及 17 幢 6 层住宅</w:t>
            </w:r>
            <w:r>
              <w:rPr>
                <w:rFonts w:hint="eastAsia" w:ascii="宋体" w:hAnsi="宋体" w:eastAsia="宋体" w:cs="宋体"/>
                <w:color w:val="000000"/>
                <w:kern w:val="0"/>
                <w:sz w:val="24"/>
                <w:szCs w:val="24"/>
                <w:shd w:val="clear" w:fill="FFFFFF"/>
                <w:lang w:val="en-US" w:eastAsia="zh-CN" w:bidi="ar"/>
              </w:rPr>
              <w:t>，3个汽车库</w:t>
            </w:r>
          </w:p>
        </w:tc>
        <w:tc>
          <w:tcPr>
            <w:tcW w:w="899" w:type="dxa"/>
            <w:vMerge w:val="continue"/>
            <w:tcBorders/>
            <w:vAlign w:val="center"/>
          </w:tcPr>
          <w:p w14:paraId="1A11F2E5">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p>
        </w:tc>
      </w:tr>
    </w:tbl>
    <w:p w14:paraId="28B102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right="0"/>
        <w:jc w:val="left"/>
        <w:rPr>
          <w:rFonts w:hint="default" w:ascii="宋体" w:hAnsi="宋体" w:eastAsia="宋体" w:cs="宋体"/>
          <w:color w:val="000000"/>
          <w:kern w:val="0"/>
          <w:sz w:val="24"/>
          <w:szCs w:val="24"/>
          <w:shd w:val="clear" w:fill="FFFFFF"/>
          <w:lang w:val="en-US" w:eastAsia="zh-CN" w:bidi="ar"/>
        </w:rPr>
      </w:pPr>
    </w:p>
    <w:p w14:paraId="0366274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right="0"/>
        <w:jc w:val="left"/>
        <w:rPr>
          <w:rFonts w:hint="eastAsia" w:ascii="宋体" w:hAnsi="宋体" w:eastAsia="宋体" w:cs="宋体"/>
          <w:color w:val="000000"/>
          <w:kern w:val="0"/>
          <w:sz w:val="24"/>
          <w:szCs w:val="24"/>
          <w:shd w:val="clear" w:fill="FFFFFF"/>
          <w:lang w:val="en-US" w:eastAsia="zh-CN" w:bidi="ar"/>
        </w:rPr>
      </w:pPr>
      <w:r>
        <w:rPr>
          <w:rFonts w:hint="eastAsia" w:ascii="宋体" w:hAnsi="宋体" w:eastAsia="宋体" w:cs="宋体"/>
          <w:color w:val="000000"/>
          <w:kern w:val="0"/>
          <w:sz w:val="24"/>
          <w:szCs w:val="24"/>
          <w:shd w:val="clear" w:fill="FFFFFF"/>
          <w:lang w:val="en-US" w:eastAsia="zh-CN" w:bidi="ar"/>
        </w:rPr>
        <w:t>附表二：</w:t>
      </w:r>
    </w:p>
    <w:tbl>
      <w:tblPr>
        <w:tblStyle w:val="7"/>
        <w:tblW w:w="89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840"/>
        <w:gridCol w:w="915"/>
        <w:gridCol w:w="915"/>
        <w:gridCol w:w="915"/>
        <w:gridCol w:w="915"/>
        <w:gridCol w:w="915"/>
        <w:gridCol w:w="1365"/>
        <w:gridCol w:w="1365"/>
      </w:tblGrid>
      <w:tr w14:paraId="62CAD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65" w:type="dxa"/>
            <w:vAlign w:val="center"/>
          </w:tcPr>
          <w:p w14:paraId="257DDCD2">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序号</w:t>
            </w:r>
          </w:p>
        </w:tc>
        <w:tc>
          <w:tcPr>
            <w:tcW w:w="840" w:type="dxa"/>
            <w:vAlign w:val="center"/>
          </w:tcPr>
          <w:p w14:paraId="3110F0B6">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区域</w:t>
            </w:r>
          </w:p>
        </w:tc>
        <w:tc>
          <w:tcPr>
            <w:tcW w:w="915" w:type="dxa"/>
            <w:vAlign w:val="center"/>
          </w:tcPr>
          <w:p w14:paraId="717748B3">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烟感</w:t>
            </w:r>
          </w:p>
        </w:tc>
        <w:tc>
          <w:tcPr>
            <w:tcW w:w="915" w:type="dxa"/>
            <w:vAlign w:val="center"/>
          </w:tcPr>
          <w:p w14:paraId="50B00714">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温感</w:t>
            </w:r>
          </w:p>
        </w:tc>
        <w:tc>
          <w:tcPr>
            <w:tcW w:w="915" w:type="dxa"/>
            <w:vAlign w:val="center"/>
          </w:tcPr>
          <w:p w14:paraId="2993370E">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手报</w:t>
            </w:r>
          </w:p>
        </w:tc>
        <w:tc>
          <w:tcPr>
            <w:tcW w:w="915" w:type="dxa"/>
            <w:vAlign w:val="center"/>
          </w:tcPr>
          <w:p w14:paraId="6515277D">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消报</w:t>
            </w:r>
          </w:p>
        </w:tc>
        <w:tc>
          <w:tcPr>
            <w:tcW w:w="915" w:type="dxa"/>
            <w:vAlign w:val="center"/>
          </w:tcPr>
          <w:p w14:paraId="6BFAA31E">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声光</w:t>
            </w:r>
          </w:p>
        </w:tc>
        <w:tc>
          <w:tcPr>
            <w:tcW w:w="1365" w:type="dxa"/>
            <w:vAlign w:val="center"/>
          </w:tcPr>
          <w:p w14:paraId="08FD0C08">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模块</w:t>
            </w:r>
          </w:p>
        </w:tc>
        <w:tc>
          <w:tcPr>
            <w:tcW w:w="1365" w:type="dxa"/>
            <w:vAlign w:val="center"/>
          </w:tcPr>
          <w:p w14:paraId="22174187">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备注</w:t>
            </w:r>
          </w:p>
        </w:tc>
      </w:tr>
      <w:tr w14:paraId="21E0D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65" w:type="dxa"/>
            <w:vAlign w:val="center"/>
          </w:tcPr>
          <w:p w14:paraId="48A9A9C5">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1</w:t>
            </w:r>
          </w:p>
        </w:tc>
        <w:tc>
          <w:tcPr>
            <w:tcW w:w="840" w:type="dxa"/>
            <w:vAlign w:val="center"/>
          </w:tcPr>
          <w:p w14:paraId="7A8FE451">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北区</w:t>
            </w:r>
          </w:p>
        </w:tc>
        <w:tc>
          <w:tcPr>
            <w:tcW w:w="915" w:type="dxa"/>
            <w:vAlign w:val="center"/>
          </w:tcPr>
          <w:p w14:paraId="2C24FBE9">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2</w:t>
            </w:r>
          </w:p>
        </w:tc>
        <w:tc>
          <w:tcPr>
            <w:tcW w:w="915" w:type="dxa"/>
            <w:vAlign w:val="center"/>
          </w:tcPr>
          <w:p w14:paraId="4BFEF695">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154</w:t>
            </w:r>
          </w:p>
        </w:tc>
        <w:tc>
          <w:tcPr>
            <w:tcW w:w="915" w:type="dxa"/>
            <w:vAlign w:val="center"/>
          </w:tcPr>
          <w:p w14:paraId="53C99709">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10</w:t>
            </w:r>
          </w:p>
        </w:tc>
        <w:tc>
          <w:tcPr>
            <w:tcW w:w="915" w:type="dxa"/>
            <w:vAlign w:val="center"/>
          </w:tcPr>
          <w:p w14:paraId="2E999140">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11</w:t>
            </w:r>
          </w:p>
        </w:tc>
        <w:tc>
          <w:tcPr>
            <w:tcW w:w="915" w:type="dxa"/>
            <w:vAlign w:val="center"/>
          </w:tcPr>
          <w:p w14:paraId="761176B3">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2</w:t>
            </w:r>
          </w:p>
        </w:tc>
        <w:tc>
          <w:tcPr>
            <w:tcW w:w="1365" w:type="dxa"/>
            <w:vAlign w:val="center"/>
          </w:tcPr>
          <w:p w14:paraId="74E312FA">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17</w:t>
            </w:r>
          </w:p>
        </w:tc>
        <w:tc>
          <w:tcPr>
            <w:tcW w:w="1365" w:type="dxa"/>
            <w:vMerge w:val="restart"/>
            <w:vAlign w:val="center"/>
          </w:tcPr>
          <w:p w14:paraId="7B2210F8">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海湾品牌，以现场实际为准</w:t>
            </w:r>
          </w:p>
        </w:tc>
      </w:tr>
      <w:tr w14:paraId="3EB13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65" w:type="dxa"/>
            <w:vAlign w:val="center"/>
          </w:tcPr>
          <w:p w14:paraId="16C770C6">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2</w:t>
            </w:r>
          </w:p>
        </w:tc>
        <w:tc>
          <w:tcPr>
            <w:tcW w:w="840" w:type="dxa"/>
            <w:vAlign w:val="center"/>
          </w:tcPr>
          <w:p w14:paraId="20FFC5FD">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南区</w:t>
            </w:r>
          </w:p>
        </w:tc>
        <w:tc>
          <w:tcPr>
            <w:tcW w:w="915" w:type="dxa"/>
            <w:shd w:val="clear"/>
            <w:vAlign w:val="center"/>
          </w:tcPr>
          <w:p w14:paraId="4E07DD37">
            <w:pPr>
              <w:keepNext w:val="0"/>
              <w:keepLines w:val="0"/>
              <w:widowControl/>
              <w:suppressLineNumbers w:val="0"/>
              <w:bidi w:val="0"/>
              <w:spacing w:before="0" w:beforeAutospacing="0" w:after="0" w:afterAutospacing="0" w:line="240" w:lineRule="auto"/>
              <w:ind w:right="0" w:rightChars="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117</w:t>
            </w:r>
          </w:p>
        </w:tc>
        <w:tc>
          <w:tcPr>
            <w:tcW w:w="915" w:type="dxa"/>
            <w:shd w:val="clear"/>
            <w:vAlign w:val="center"/>
          </w:tcPr>
          <w:p w14:paraId="4BD1D9BD">
            <w:pPr>
              <w:keepNext w:val="0"/>
              <w:keepLines w:val="0"/>
              <w:widowControl/>
              <w:suppressLineNumbers w:val="0"/>
              <w:bidi w:val="0"/>
              <w:spacing w:before="0" w:beforeAutospacing="0" w:after="0" w:afterAutospacing="0" w:line="240" w:lineRule="auto"/>
              <w:ind w:right="0" w:rightChars="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834</w:t>
            </w:r>
          </w:p>
        </w:tc>
        <w:tc>
          <w:tcPr>
            <w:tcW w:w="915" w:type="dxa"/>
            <w:shd w:val="clear"/>
            <w:vAlign w:val="center"/>
          </w:tcPr>
          <w:p w14:paraId="3ED5A6BE">
            <w:pPr>
              <w:keepNext w:val="0"/>
              <w:keepLines w:val="0"/>
              <w:widowControl/>
              <w:suppressLineNumbers w:val="0"/>
              <w:bidi w:val="0"/>
              <w:spacing w:before="0" w:beforeAutospacing="0" w:after="0" w:afterAutospacing="0" w:line="240" w:lineRule="auto"/>
              <w:ind w:right="0" w:rightChars="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35</w:t>
            </w:r>
          </w:p>
        </w:tc>
        <w:tc>
          <w:tcPr>
            <w:tcW w:w="915" w:type="dxa"/>
            <w:shd w:val="clear"/>
            <w:vAlign w:val="center"/>
          </w:tcPr>
          <w:p w14:paraId="6109CA61">
            <w:pPr>
              <w:keepNext w:val="0"/>
              <w:keepLines w:val="0"/>
              <w:widowControl/>
              <w:suppressLineNumbers w:val="0"/>
              <w:bidi w:val="0"/>
              <w:spacing w:before="0" w:beforeAutospacing="0" w:after="0" w:afterAutospacing="0" w:line="240" w:lineRule="auto"/>
              <w:ind w:right="0" w:rightChars="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81</w:t>
            </w:r>
          </w:p>
        </w:tc>
        <w:tc>
          <w:tcPr>
            <w:tcW w:w="915" w:type="dxa"/>
            <w:shd w:val="clear"/>
            <w:vAlign w:val="center"/>
          </w:tcPr>
          <w:p w14:paraId="775D642E">
            <w:pPr>
              <w:keepNext w:val="0"/>
              <w:keepLines w:val="0"/>
              <w:widowControl/>
              <w:suppressLineNumbers w:val="0"/>
              <w:bidi w:val="0"/>
              <w:spacing w:before="0" w:beforeAutospacing="0" w:after="0" w:afterAutospacing="0" w:line="240" w:lineRule="auto"/>
              <w:ind w:right="0" w:rightChars="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5</w:t>
            </w:r>
          </w:p>
        </w:tc>
        <w:tc>
          <w:tcPr>
            <w:tcW w:w="1365" w:type="dxa"/>
            <w:shd w:val="clear"/>
            <w:vAlign w:val="center"/>
          </w:tcPr>
          <w:p w14:paraId="749653C4">
            <w:pPr>
              <w:keepNext w:val="0"/>
              <w:keepLines w:val="0"/>
              <w:widowControl/>
              <w:suppressLineNumbers w:val="0"/>
              <w:bidi w:val="0"/>
              <w:spacing w:before="0" w:beforeAutospacing="0" w:after="0" w:afterAutospacing="0" w:line="240" w:lineRule="auto"/>
              <w:ind w:right="0" w:rightChars="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47</w:t>
            </w:r>
          </w:p>
        </w:tc>
        <w:tc>
          <w:tcPr>
            <w:tcW w:w="1365" w:type="dxa"/>
            <w:vMerge w:val="continue"/>
            <w:tcBorders/>
            <w:shd w:val="clear"/>
            <w:vAlign w:val="center"/>
          </w:tcPr>
          <w:p w14:paraId="5F6107C5">
            <w:pPr>
              <w:keepNext w:val="0"/>
              <w:keepLines w:val="0"/>
              <w:widowControl/>
              <w:suppressLineNumbers w:val="0"/>
              <w:bidi w:val="0"/>
              <w:spacing w:before="0" w:beforeAutospacing="0" w:after="0" w:afterAutospacing="0" w:line="240" w:lineRule="auto"/>
              <w:ind w:right="0" w:rightChars="0"/>
              <w:jc w:val="center"/>
              <w:rPr>
                <w:rFonts w:hint="eastAsia" w:ascii="宋体" w:hAnsi="宋体" w:eastAsia="宋体" w:cs="宋体"/>
                <w:color w:val="000000"/>
                <w:kern w:val="0"/>
                <w:sz w:val="24"/>
                <w:szCs w:val="24"/>
                <w:shd w:val="clear" w:fill="FFFFFF"/>
                <w:vertAlign w:val="baseline"/>
                <w:lang w:val="en-US" w:eastAsia="zh-CN" w:bidi="ar"/>
              </w:rPr>
            </w:pPr>
          </w:p>
        </w:tc>
      </w:tr>
      <w:tr w14:paraId="5CB05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765" w:type="dxa"/>
            <w:vAlign w:val="center"/>
          </w:tcPr>
          <w:p w14:paraId="71657DDB">
            <w:pPr>
              <w:keepNext w:val="0"/>
              <w:keepLines w:val="0"/>
              <w:widowControl/>
              <w:suppressLineNumbers w:val="0"/>
              <w:bidi w:val="0"/>
              <w:spacing w:before="0" w:beforeAutospacing="0" w:after="0" w:afterAutospacing="0" w:line="240" w:lineRule="auto"/>
              <w:ind w:right="0"/>
              <w:jc w:val="center"/>
              <w:rPr>
                <w:rFonts w:hint="default"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备注</w:t>
            </w:r>
          </w:p>
        </w:tc>
        <w:tc>
          <w:tcPr>
            <w:tcW w:w="8145" w:type="dxa"/>
            <w:gridSpan w:val="8"/>
            <w:tcBorders/>
            <w:vAlign w:val="center"/>
          </w:tcPr>
          <w:p w14:paraId="7936E5F3">
            <w:pPr>
              <w:keepNext w:val="0"/>
              <w:keepLines w:val="0"/>
              <w:widowControl/>
              <w:suppressLineNumbers w:val="0"/>
              <w:bidi w:val="0"/>
              <w:spacing w:before="0" w:beforeAutospacing="0" w:after="0" w:afterAutospacing="0" w:line="240" w:lineRule="auto"/>
              <w:ind w:right="0" w:rightChars="0"/>
              <w:jc w:val="left"/>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1.灭火器由物业单位更换；</w:t>
            </w:r>
          </w:p>
          <w:p w14:paraId="03D3301C">
            <w:pPr>
              <w:keepNext w:val="0"/>
              <w:keepLines w:val="0"/>
              <w:widowControl/>
              <w:suppressLineNumbers w:val="0"/>
              <w:bidi w:val="0"/>
              <w:spacing w:before="0" w:beforeAutospacing="0" w:after="0" w:afterAutospacing="0" w:line="240" w:lineRule="auto"/>
              <w:ind w:right="0" w:rightChars="0"/>
              <w:jc w:val="left"/>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2.应急照明系统由物业单位维修更换；</w:t>
            </w:r>
          </w:p>
          <w:p w14:paraId="0CF43269">
            <w:pPr>
              <w:keepNext w:val="0"/>
              <w:keepLines w:val="0"/>
              <w:widowControl/>
              <w:suppressLineNumbers w:val="0"/>
              <w:bidi w:val="0"/>
              <w:spacing w:before="0" w:beforeAutospacing="0" w:after="0" w:afterAutospacing="0" w:line="240" w:lineRule="auto"/>
              <w:ind w:right="0" w:rightChars="0"/>
              <w:jc w:val="left"/>
              <w:rPr>
                <w:rFonts w:hint="eastAsia" w:ascii="宋体" w:hAnsi="宋体" w:eastAsia="宋体" w:cs="宋体"/>
                <w:color w:val="000000"/>
                <w:kern w:val="0"/>
                <w:sz w:val="24"/>
                <w:szCs w:val="24"/>
                <w:shd w:val="clear" w:fill="FFFFFF"/>
                <w:vertAlign w:val="baseline"/>
                <w:lang w:val="en-US" w:eastAsia="zh-CN" w:bidi="ar"/>
              </w:rPr>
            </w:pPr>
            <w:r>
              <w:rPr>
                <w:rFonts w:hint="eastAsia" w:ascii="宋体" w:hAnsi="宋体" w:eastAsia="宋体" w:cs="宋体"/>
                <w:color w:val="000000"/>
                <w:kern w:val="0"/>
                <w:sz w:val="24"/>
                <w:szCs w:val="24"/>
                <w:shd w:val="clear" w:fill="FFFFFF"/>
                <w:vertAlign w:val="baseline"/>
                <w:lang w:val="en-US" w:eastAsia="zh-CN" w:bidi="ar"/>
              </w:rPr>
              <w:t>3.楼层内、地下室的消火栓门框、栓头、水带，灭火器等，由物业单位负责维修更换。</w:t>
            </w:r>
            <w:bookmarkStart w:id="0" w:name="_GoBack"/>
            <w:bookmarkEnd w:id="0"/>
          </w:p>
        </w:tc>
      </w:tr>
    </w:tbl>
    <w:p w14:paraId="0BD2949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right="0"/>
        <w:jc w:val="left"/>
        <w:rPr>
          <w:rFonts w:hint="default" w:ascii="宋体" w:hAnsi="宋体" w:eastAsia="宋体" w:cs="宋体"/>
          <w:color w:val="000000"/>
          <w:kern w:val="0"/>
          <w:sz w:val="24"/>
          <w:szCs w:val="24"/>
          <w:shd w:val="clear" w:fill="FFFFFF"/>
          <w:lang w:val="en-US" w:eastAsia="zh-CN" w:bidi="ar"/>
        </w:rPr>
      </w:pPr>
    </w:p>
    <w:p w14:paraId="7015023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right="0"/>
        <w:jc w:val="left"/>
        <w:rPr>
          <w:rFonts w:hint="default" w:ascii="宋体" w:hAnsi="宋体" w:eastAsia="宋体" w:cs="宋体"/>
          <w:color w:val="000000"/>
          <w:kern w:val="0"/>
          <w:sz w:val="24"/>
          <w:szCs w:val="24"/>
          <w:shd w:val="clear" w:fill="FFFFFF"/>
          <w:lang w:val="en-US" w:eastAsia="zh-CN" w:bidi="ar"/>
        </w:rPr>
      </w:pPr>
    </w:p>
    <w:p w14:paraId="635F5C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right="0"/>
        <w:jc w:val="left"/>
        <w:rPr>
          <w:rFonts w:ascii="宋体" w:hAnsi="宋体" w:eastAsia="宋体" w:cs="宋体"/>
          <w:color w:val="000000"/>
          <w:kern w:val="0"/>
          <w:sz w:val="24"/>
          <w:szCs w:val="24"/>
          <w:shd w:val="clear" w:fill="FFFFFF"/>
          <w:lang w:val="en-US" w:eastAsia="zh-CN" w:bidi="ar"/>
        </w:rPr>
      </w:pPr>
    </w:p>
    <w:p w14:paraId="40EEE3B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jc w:val="right"/>
        <w:rPr>
          <w:rFonts w:ascii="宋体" w:hAnsi="宋体" w:eastAsia="宋体" w:cs="宋体"/>
          <w:color w:val="000000"/>
          <w:kern w:val="0"/>
          <w:sz w:val="24"/>
          <w:szCs w:val="24"/>
          <w:shd w:val="clear" w:fill="FFFFFF"/>
          <w:lang w:val="en-US" w:eastAsia="zh-CN" w:bidi="ar"/>
        </w:rPr>
      </w:pPr>
      <w:r>
        <w:rPr>
          <w:rFonts w:ascii="宋体" w:hAnsi="宋体" w:eastAsia="宋体" w:cs="宋体"/>
          <w:color w:val="000000"/>
          <w:kern w:val="0"/>
          <w:sz w:val="24"/>
          <w:szCs w:val="24"/>
          <w:shd w:val="clear" w:fill="FFFFFF"/>
          <w:lang w:val="en-US" w:eastAsia="zh-CN" w:bidi="ar"/>
        </w:rPr>
        <w:t>浙江安科工程检测有限公司</w:t>
      </w:r>
    </w:p>
    <w:p w14:paraId="32036FA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0" w:lineRule="auto"/>
        <w:ind w:left="0" w:right="0"/>
        <w:jc w:val="right"/>
        <w:rPr>
          <w:color w:val="000000"/>
          <w:sz w:val="24"/>
          <w:szCs w:val="24"/>
        </w:rPr>
      </w:pPr>
      <w:r>
        <w:rPr>
          <w:rFonts w:ascii="宋体" w:hAnsi="宋体" w:eastAsia="宋体" w:cs="宋体"/>
          <w:color w:val="000000"/>
          <w:kern w:val="0"/>
          <w:sz w:val="24"/>
          <w:szCs w:val="24"/>
          <w:shd w:val="clear" w:fill="FFFFFF"/>
          <w:lang w:val="en-US" w:eastAsia="zh-CN" w:bidi="ar"/>
        </w:rPr>
        <w:t>2026 年</w:t>
      </w:r>
      <w:r>
        <w:rPr>
          <w:rFonts w:hint="eastAsia" w:ascii="宋体" w:hAnsi="宋体" w:eastAsia="宋体" w:cs="宋体"/>
          <w:color w:val="000000"/>
          <w:kern w:val="0"/>
          <w:sz w:val="24"/>
          <w:szCs w:val="24"/>
          <w:shd w:val="clear" w:fill="FFFFFF"/>
          <w:lang w:val="en-US" w:eastAsia="zh-CN" w:bidi="ar"/>
        </w:rPr>
        <w:t xml:space="preserve"> 2</w:t>
      </w:r>
      <w:r>
        <w:rPr>
          <w:rFonts w:ascii="宋体" w:hAnsi="宋体" w:eastAsia="宋体" w:cs="宋体"/>
          <w:color w:val="000000"/>
          <w:kern w:val="0"/>
          <w:sz w:val="24"/>
          <w:szCs w:val="24"/>
          <w:shd w:val="clear" w:fill="FFFFFF"/>
          <w:lang w:val="en-US" w:eastAsia="zh-CN" w:bidi="ar"/>
        </w:rPr>
        <w:t xml:space="preserve"> 月 </w:t>
      </w:r>
      <w:r>
        <w:rPr>
          <w:rFonts w:hint="eastAsia" w:ascii="宋体" w:hAnsi="宋体" w:eastAsia="宋体" w:cs="宋体"/>
          <w:color w:val="000000"/>
          <w:kern w:val="0"/>
          <w:sz w:val="24"/>
          <w:szCs w:val="24"/>
          <w:shd w:val="clear" w:fill="FFFFFF"/>
          <w:lang w:val="en-US" w:eastAsia="zh-CN" w:bidi="ar"/>
        </w:rPr>
        <w:t>9</w:t>
      </w:r>
      <w:r>
        <w:rPr>
          <w:rFonts w:ascii="宋体" w:hAnsi="宋体" w:eastAsia="宋体" w:cs="宋体"/>
          <w:color w:val="000000"/>
          <w:kern w:val="0"/>
          <w:sz w:val="24"/>
          <w:szCs w:val="24"/>
          <w:shd w:val="clear" w:fill="FFFFFF"/>
          <w:lang w:val="en-US" w:eastAsia="zh-CN" w:bidi="ar"/>
        </w:rPr>
        <w:t xml:space="preserve"> 日</w:t>
      </w:r>
    </w:p>
    <w:p w14:paraId="55F6DBB5">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C55BFB"/>
    <w:multiLevelType w:val="multilevel"/>
    <w:tmpl w:val="D1C55BF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1563FF56"/>
    <w:multiLevelType w:val="multilevel"/>
    <w:tmpl w:val="1563FF5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E13F19"/>
    <w:rsid w:val="23244467"/>
    <w:rsid w:val="27C94452"/>
    <w:rsid w:val="2BE2765E"/>
    <w:rsid w:val="34E72241"/>
    <w:rsid w:val="3F3E10C3"/>
    <w:rsid w:val="47E36768"/>
    <w:rsid w:val="487B0555"/>
    <w:rsid w:val="57BD0C66"/>
    <w:rsid w:val="5A0031AA"/>
    <w:rsid w:val="5C2B31FC"/>
    <w:rsid w:val="7D694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numbering" Target="numbering.xml"/><Relationship Id="rId31" Type="http://schemas.openxmlformats.org/officeDocument/2006/relationships/image" Target="media/image28.jpeg"/><Relationship Id="rId30" Type="http://schemas.openxmlformats.org/officeDocument/2006/relationships/image" Target="media/image27.jpeg"/><Relationship Id="rId3" Type="http://schemas.openxmlformats.org/officeDocument/2006/relationships/theme" Target="theme/theme1.xml"/><Relationship Id="rId29" Type="http://schemas.openxmlformats.org/officeDocument/2006/relationships/image" Target="media/image26.jpeg"/><Relationship Id="rId28" Type="http://schemas.openxmlformats.org/officeDocument/2006/relationships/image" Target="media/image25.jpeg"/><Relationship Id="rId27" Type="http://schemas.openxmlformats.org/officeDocument/2006/relationships/image" Target="media/image24.jpeg"/><Relationship Id="rId26" Type="http://schemas.openxmlformats.org/officeDocument/2006/relationships/image" Target="media/image23.jpeg"/><Relationship Id="rId25" Type="http://schemas.openxmlformats.org/officeDocument/2006/relationships/image" Target="media/image22.jpeg"/><Relationship Id="rId24" Type="http://schemas.openxmlformats.org/officeDocument/2006/relationships/image" Target="media/image21.jpeg"/><Relationship Id="rId23" Type="http://schemas.openxmlformats.org/officeDocument/2006/relationships/image" Target="media/image20.jpeg"/><Relationship Id="rId22" Type="http://schemas.openxmlformats.org/officeDocument/2006/relationships/image" Target="media/image19.jpeg"/><Relationship Id="rId21" Type="http://schemas.openxmlformats.org/officeDocument/2006/relationships/image" Target="media/image18.jpeg"/><Relationship Id="rId20" Type="http://schemas.openxmlformats.org/officeDocument/2006/relationships/image" Target="media/image17.jpeg"/><Relationship Id="rId2" Type="http://schemas.openxmlformats.org/officeDocument/2006/relationships/settings" Target="settings.xml"/><Relationship Id="rId19" Type="http://schemas.openxmlformats.org/officeDocument/2006/relationships/image" Target="media/image16.jpeg"/><Relationship Id="rId18" Type="http://schemas.openxmlformats.org/officeDocument/2006/relationships/image" Target="media/image15.jpeg"/><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f2de82db-8a25-47e1-a387-f52713c348ae</errorID>
      <errorWord>11</errorWord>
      <group>L1_AI</group>
      <groupName>深度校对</groupName>
      <ability>L2_AI_Word</ability>
      <abilityName>字词纠错</abilityName>
      <candidateList>
        <item>10</item>
      </candidateList>
      <explain/>
      <paraID>400A585B</paraID>
      <start>132</start>
      <end>134</end>
      <status>ignored</status>
      <modifiedWord/>
      <trackRevisions>false</trackRevisions>
    </reviewItem>
    <reviewItem>
      <errorID>c9b54e6a-3b43-48cf-88b0-ae237264b867</errorID>
      <errorWord>虽</errorWord>
      <group>L1_Word</group>
      <groupName>字词问题</groupName>
      <ability>L2_Typo</ability>
      <abilityName>字词错误</abilityName>
      <candidateList>
        <item>虽然</item>
      </candidateList>
      <explain/>
      <paraID>769E271C</paraID>
      <start>74</start>
      <end>76</end>
      <status>modified</status>
      <modifiedWord>虽然</modifiedWord>
      <trackRevisions>false</trackRevisions>
    </reviewItem>
    <reviewItem>
      <errorID>5dda8136-98bb-4c49-add2-f6268bd7f944</errorID>
      <errorWord>与</errorWord>
      <group>L1_AI</group>
      <groupName>深度校对</groupName>
      <ability>L2_AI_Word</ability>
      <abilityName>字词纠错</abilityName>
      <candidateList>
        <item>和</item>
      </candidateList>
      <explain/>
      <paraID>57DDE601</paraID>
      <start>122</start>
      <end>123</end>
      <status>modified</status>
      <modifiedWord>和</modifiedWord>
      <trackRevisions>false</trackRevisions>
    </reviewItem>
    <reviewItem>
      <errorID>07691963-4bf2-4431-bf23-3dc9dbed3d41</errorID>
      <errorWord>通讯联络</errorWord>
      <group>L1_AI</group>
      <groupName>深度校对</groupName>
      <ability>L2_AI_Word</ability>
      <abilityName>字词纠错</abilityName>
      <candidateList>
        <item>通信联络</item>
      </candidateList>
      <explain/>
      <paraID>57DDE601</paraID>
      <start>157</start>
      <end>161</end>
      <status>ignored</status>
      <modifiedWord/>
      <trackRevisions>false</trackRevisions>
    </reviewItem>
    <reviewItem>
      <errorID>d8089097-412b-4a0b-ac14-b475b32f147e</errorID>
      <errorWord>地</errorWord>
      <group>L1_AI</group>
      <groupName>深度校对</groupName>
      <ability>L2_AI_Word</ability>
      <abilityName>字词纠错</abilityName>
      <candidateList>
        <item>的</item>
      </candidateList>
      <explain/>
      <paraID>29E1180E</paraID>
      <start>261</start>
      <end>262</end>
      <status>modified</status>
      <modifiedWord>的</modifiedWord>
      <trackRevisions>false</trackRevisions>
    </reviewItem>
    <reviewItem>
      <errorID>b5ce08e4-9671-4727-94c0-d090a69ce2b2</errorID>
      <errorWord>之间的</errorWord>
      <group>L1_AI</group>
      <groupName>深度校对</groupName>
      <ability>L2_AI_Word</ability>
      <abilityName>字词纠错</abilityName>
      <candidateList>
        <item>之间</item>
      </candidateList>
      <explain/>
      <paraID> E9C3933</paraID>
      <start>75</start>
      <end>77</end>
      <status>modified</status>
      <modifiedWord>之间</modifiedWord>
      <trackRevisions>false</trackRevisions>
    </reviewItem>
    <reviewItem>
      <errorID>624b0f3f-f850-4287-bc1a-92edd4039a1f</errorID>
      <errorWord>期间</errorWord>
      <group>L1_Word</group>
      <groupName>字词问题</groupName>
      <ability>L2_Typo</ability>
      <abilityName>字词错误</abilityName>
      <candidateList>
        <item>其间</item>
      </candidateList>
      <explain>〈名〉方位词。❶那中间；其中：厕身～｜～定有缘故。❷指某一段时间：离开学校已经好几年了，这～，他在科学研究上取得了显著成绩。</explain>
      <paraID>1DBCB072</paraID>
      <start>149</start>
      <end>151</end>
      <status>modified</status>
      <modifiedWord>其间</modifiedWord>
      <trackRevisions>false</trackRevisions>
    </reviewItem>
    <reviewItem>
      <errorID>037e724d-fee1-4da2-8ffd-987e2edcb67a</errorID>
      <errorWord>对对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7399776D</paraID>
      <start>16</start>
      <end>17</end>
      <status>modified</status>
      <modifiedWord>对</modifiedWord>
      <trackRevisions>false</trackRevisions>
    </reviewItem>
  </reviewItems>
  <config/>
</contractReview>
</file>

<file path=customXml/itemProps1.xml><?xml version="1.0" encoding="utf-8"?>
<ds:datastoreItem xmlns:ds="http://schemas.openxmlformats.org/officeDocument/2006/customXml" ds:itemID="{22726575-73c1-4de1-bc81-cd4fa133ca45}">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5578</Words>
  <Characters>5675</Characters>
  <Lines>0</Lines>
  <Paragraphs>0</Paragraphs>
  <TotalTime>23</TotalTime>
  <ScaleCrop>false</ScaleCrop>
  <LinksUpToDate>false</LinksUpToDate>
  <CharactersWithSpaces>5773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2026-02-04T00:23:00Z</dcterms:created>
  <dc:creator>ASUS</dc:creator>
  <cp:lastModifiedBy>肥鹌鹑</cp:lastModifiedBy>
  <dcterms:modified xsi:type="dcterms:W3CDTF">2026-02-24T09:01:46Z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eyJoZGlkIjoiNDJkNzU3N2QzNzRjY2QxYmZmOTY3YTY4M2M4NWNmMzciLCJ1c2VySWQiOiI0NDM5MDk4MzUifQ==</vt:lpwstr>
  </property>
  <property fmtid="{D5CDD505-2E9C-101B-9397-08002B2CF9AE}" pid="4" name="ICV">
    <vt:lpwstr>795610551C2247D5A1D92938AF90D759_13</vt:lpwstr>
  </property>
</Properties>
</file>